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D5A5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rPr>
      </w:pPr>
    </w:p>
    <w:p w14:paraId="2FEFFBD7">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rPr>
      </w:pPr>
    </w:p>
    <w:p w14:paraId="7A7AD5CB">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rPr>
      </w:pPr>
      <w:r>
        <w:rPr>
          <w:rFonts w:hint="eastAsia" w:ascii="宋体"/>
          <w:b/>
          <w:color w:val="000000"/>
          <w:kern w:val="0"/>
          <w:sz w:val="52"/>
        </w:rPr>
        <w:t>政府采购</w:t>
      </w:r>
    </w:p>
    <w:p w14:paraId="17ABD5A1">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b/>
          <w:kern w:val="0"/>
          <w:sz w:val="52"/>
          <w:szCs w:val="52"/>
        </w:rPr>
      </w:pPr>
      <w:r>
        <w:rPr>
          <w:rFonts w:hint="eastAsia" w:ascii="宋体" w:hAnsi="宋体" w:cs="宋体"/>
          <w:b/>
          <w:kern w:val="0"/>
          <w:sz w:val="52"/>
          <w:szCs w:val="52"/>
        </w:rPr>
        <w:t>竞争性磋商文件</w:t>
      </w:r>
    </w:p>
    <w:p w14:paraId="4F1CCC9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eastAsia" w:ascii="宋体" w:hAnsi="宋体" w:cs="宋体"/>
          <w:color w:val="000000"/>
          <w:kern w:val="0"/>
          <w:sz w:val="30"/>
          <w:szCs w:val="30"/>
        </w:rPr>
      </w:pPr>
    </w:p>
    <w:p w14:paraId="2E9A997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32"/>
          <w:szCs w:val="32"/>
          <w:lang w:eastAsia="zh-CN"/>
        </w:rPr>
        <w:t>BCJD[2025]0901号</w:t>
      </w:r>
    </w:p>
    <w:p w14:paraId="344709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rPr>
      </w:pPr>
    </w:p>
    <w:p w14:paraId="4BBA5A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rPr>
      </w:pPr>
    </w:p>
    <w:p w14:paraId="3678F34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000000"/>
          <w:kern w:val="0"/>
          <w:sz w:val="30"/>
          <w:szCs w:val="30"/>
        </w:rPr>
      </w:pPr>
    </w:p>
    <w:p w14:paraId="319CC67B">
      <w:pPr>
        <w:autoSpaceDE w:val="0"/>
        <w:autoSpaceDN w:val="0"/>
        <w:adjustRightInd w:val="0"/>
        <w:spacing w:line="360" w:lineRule="auto"/>
        <w:jc w:val="left"/>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北城办事处改造工程</w:t>
      </w:r>
    </w:p>
    <w:p w14:paraId="6ECF282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eastAsia" w:ascii="宋体" w:hAnsi="宋体" w:eastAsia="宋体" w:cs="宋体"/>
          <w:kern w:val="0"/>
          <w:sz w:val="28"/>
          <w:szCs w:val="28"/>
          <w:lang w:eastAsia="zh-CN"/>
        </w:rPr>
      </w:pPr>
      <w:r>
        <w:rPr>
          <w:rFonts w:hint="eastAsia" w:ascii="宋体"/>
          <w:kern w:val="0"/>
          <w:sz w:val="28"/>
        </w:rPr>
        <w:t>采 购 人：</w:t>
      </w:r>
      <w:r>
        <w:rPr>
          <w:rFonts w:hint="eastAsia" w:ascii="宋体" w:eastAsia="宋体"/>
          <w:kern w:val="0"/>
          <w:sz w:val="28"/>
          <w:lang w:eastAsia="zh-CN"/>
        </w:rPr>
        <w:t>台州市黄岩区人民政府北城街道办事处</w:t>
      </w:r>
    </w:p>
    <w:p w14:paraId="494E88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000000"/>
          <w:kern w:val="0"/>
          <w:sz w:val="30"/>
          <w:szCs w:val="30"/>
        </w:rPr>
      </w:pPr>
      <w:r>
        <w:rPr>
          <w:rFonts w:hint="eastAsia" w:ascii="宋体" w:hAnsi="宋体" w:cs="宋体"/>
          <w:color w:val="000000"/>
          <w:kern w:val="0"/>
          <w:sz w:val="30"/>
          <w:szCs w:val="30"/>
        </w:rPr>
        <w:t xml:space="preserve">                       </w:t>
      </w:r>
    </w:p>
    <w:p w14:paraId="668A3F5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000000"/>
          <w:kern w:val="0"/>
          <w:sz w:val="30"/>
          <w:szCs w:val="30"/>
        </w:rPr>
      </w:pPr>
    </w:p>
    <w:p w14:paraId="6E0667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rPr>
      </w:pPr>
    </w:p>
    <w:p w14:paraId="2B0FA0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rPr>
      </w:pPr>
    </w:p>
    <w:p w14:paraId="62BD9EE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rPr>
      </w:pPr>
    </w:p>
    <w:p w14:paraId="2FFCBF1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rPr>
      </w:pPr>
    </w:p>
    <w:p w14:paraId="17C46D9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kern w:val="0"/>
          <w:sz w:val="28"/>
          <w:szCs w:val="28"/>
          <w:lang w:eastAsia="zh-CN"/>
        </w:rPr>
      </w:pPr>
      <w:r>
        <w:rPr>
          <w:rFonts w:hint="eastAsia" w:ascii="宋体" w:hAnsi="宋体" w:cs="宋体"/>
          <w:color w:val="000000"/>
          <w:kern w:val="0"/>
          <w:sz w:val="30"/>
          <w:szCs w:val="30"/>
        </w:rPr>
        <w:t xml:space="preserve">   </w:t>
      </w:r>
      <w:r>
        <w:rPr>
          <w:rFonts w:hint="eastAsia" w:ascii="宋体" w:hAnsi="宋体" w:eastAsia="宋体" w:cs="宋体"/>
          <w:kern w:val="0"/>
          <w:sz w:val="28"/>
          <w:szCs w:val="28"/>
          <w:lang w:eastAsia="zh-CN"/>
        </w:rPr>
        <w:t>浙江中衡信工程咨询有限公司</w:t>
      </w:r>
    </w:p>
    <w:p w14:paraId="7559AFA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kern w:val="0"/>
          <w:sz w:val="28"/>
          <w:szCs w:val="28"/>
        </w:rPr>
      </w:pPr>
      <w:r>
        <w:rPr>
          <w:rFonts w:hint="eastAsia" w:ascii="宋体" w:hAnsi="宋体" w:eastAsia="宋体"/>
          <w:sz w:val="28"/>
          <w:szCs w:val="28"/>
          <w:lang w:eastAsia="zh-CN"/>
        </w:rPr>
        <w:t>2025年</w:t>
      </w:r>
      <w:r>
        <w:rPr>
          <w:rFonts w:hint="eastAsia" w:ascii="宋体" w:hAnsi="宋体" w:eastAsia="宋体"/>
          <w:sz w:val="28"/>
          <w:szCs w:val="28"/>
          <w:lang w:val="en-US" w:eastAsia="zh-CN"/>
        </w:rPr>
        <w:t>9</w:t>
      </w:r>
      <w:r>
        <w:rPr>
          <w:rFonts w:hint="eastAsia" w:ascii="宋体" w:hAnsi="宋体" w:eastAsia="宋体"/>
          <w:sz w:val="28"/>
          <w:szCs w:val="28"/>
          <w:lang w:eastAsia="zh-CN"/>
        </w:rPr>
        <w:t>月</w:t>
      </w:r>
    </w:p>
    <w:p w14:paraId="5C37110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kern w:val="0"/>
          <w:sz w:val="28"/>
          <w:szCs w:val="28"/>
        </w:rPr>
      </w:pPr>
    </w:p>
    <w:p w14:paraId="5BB2774E">
      <w:pPr>
        <w:pStyle w:val="3"/>
        <w:rPr>
          <w:rFonts w:hint="eastAsia" w:ascii="宋体" w:hAnsi="宋体" w:cs="宋体"/>
          <w:color w:val="000000"/>
          <w:kern w:val="0"/>
          <w:sz w:val="28"/>
          <w:szCs w:val="28"/>
        </w:rPr>
      </w:pPr>
    </w:p>
    <w:p w14:paraId="33A1553E">
      <w:pPr>
        <w:pStyle w:val="21"/>
        <w:rPr>
          <w:rFonts w:hint="eastAsia" w:ascii="宋体" w:hAnsi="宋体" w:cs="宋体"/>
          <w:color w:val="000000"/>
          <w:kern w:val="0"/>
          <w:sz w:val="28"/>
          <w:szCs w:val="28"/>
        </w:rPr>
      </w:pPr>
    </w:p>
    <w:p w14:paraId="0F52E5AE">
      <w:pPr>
        <w:rPr>
          <w:rFonts w:hint="eastAsia" w:ascii="宋体" w:hAnsi="宋体" w:cs="宋体"/>
          <w:color w:val="000000"/>
          <w:kern w:val="0"/>
          <w:sz w:val="28"/>
          <w:szCs w:val="28"/>
        </w:rPr>
      </w:pPr>
    </w:p>
    <w:p w14:paraId="455FF5D2">
      <w:pPr>
        <w:pStyle w:val="3"/>
        <w:rPr>
          <w:rFonts w:hint="eastAsia" w:ascii="宋体" w:hAnsi="宋体" w:cs="宋体"/>
          <w:color w:val="000000"/>
          <w:kern w:val="0"/>
          <w:sz w:val="28"/>
          <w:szCs w:val="28"/>
        </w:rPr>
      </w:pPr>
    </w:p>
    <w:p w14:paraId="48744E8F">
      <w:pPr>
        <w:pStyle w:val="21"/>
        <w:rPr>
          <w:rFonts w:hint="eastAsia"/>
        </w:rPr>
      </w:pPr>
    </w:p>
    <w:p w14:paraId="39BC7163">
      <w:pPr>
        <w:jc w:val="center"/>
        <w:rPr>
          <w:rFonts w:hint="eastAsia" w:ascii="宋体" w:hAnsi="宋体" w:cs="Arial"/>
          <w:b/>
          <w:bCs/>
          <w:color w:val="000000"/>
          <w:sz w:val="36"/>
          <w:szCs w:val="36"/>
        </w:rPr>
      </w:pPr>
    </w:p>
    <w:p w14:paraId="109CFCC3">
      <w:pPr>
        <w:jc w:val="center"/>
        <w:rPr>
          <w:rFonts w:hint="eastAsia" w:ascii="宋体" w:hAnsi="宋体" w:cs="Arial"/>
          <w:b/>
          <w:bCs/>
          <w:color w:val="000000"/>
          <w:sz w:val="36"/>
          <w:szCs w:val="36"/>
        </w:rPr>
        <w:sectPr>
          <w:headerReference r:id="rId4" w:type="default"/>
          <w:footerReference r:id="rId5"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14:paraId="03BA694E">
      <w:pPr>
        <w:jc w:val="center"/>
        <w:rPr>
          <w:rFonts w:ascii="宋体" w:hAnsi="宋体" w:cs="Arial"/>
          <w:b/>
          <w:bCs/>
          <w:color w:val="000000"/>
          <w:sz w:val="36"/>
          <w:szCs w:val="36"/>
        </w:rPr>
      </w:pPr>
      <w:r>
        <w:rPr>
          <w:rFonts w:hint="eastAsia" w:ascii="宋体" w:hAnsi="宋体" w:cs="Arial"/>
          <w:b/>
          <w:bCs/>
          <w:color w:val="000000"/>
          <w:sz w:val="36"/>
          <w:szCs w:val="36"/>
        </w:rPr>
        <w:t>目    录</w:t>
      </w:r>
    </w:p>
    <w:p w14:paraId="3165D8EF">
      <w:pPr>
        <w:spacing w:line="360" w:lineRule="auto"/>
        <w:ind w:left="960"/>
        <w:rPr>
          <w:rFonts w:hint="eastAsia" w:ascii="宋体" w:hAnsi="宋体"/>
          <w:sz w:val="10"/>
        </w:rPr>
      </w:pPr>
    </w:p>
    <w:p w14:paraId="2520A161">
      <w:pPr>
        <w:spacing w:line="360" w:lineRule="auto"/>
        <w:ind w:left="960"/>
        <w:rPr>
          <w:rFonts w:hint="eastAsia" w:ascii="宋体" w:hAnsi="宋体"/>
          <w:sz w:val="10"/>
        </w:rPr>
      </w:pPr>
    </w:p>
    <w:p w14:paraId="4E121FA4">
      <w:pPr>
        <w:spacing w:line="360" w:lineRule="auto"/>
        <w:ind w:left="960"/>
        <w:rPr>
          <w:rFonts w:hint="eastAsia" w:ascii="宋体" w:hAnsi="宋体"/>
          <w:sz w:val="10"/>
        </w:rPr>
      </w:pPr>
    </w:p>
    <w:p w14:paraId="3F7C40A4">
      <w:pPr>
        <w:spacing w:line="360" w:lineRule="auto"/>
        <w:ind w:left="616" w:leftChars="171" w:firstLine="481" w:firstLineChars="171"/>
        <w:rPr>
          <w:rFonts w:hint="eastAsia" w:ascii="新宋体" w:hAnsi="新宋体"/>
          <w:b/>
          <w:color w:val="000000"/>
          <w:sz w:val="28"/>
          <w:szCs w:val="28"/>
        </w:rPr>
      </w:pPr>
      <w:r>
        <w:rPr>
          <w:rFonts w:hint="eastAsia" w:ascii="新宋体" w:hAnsi="新宋体" w:eastAsia="新宋体"/>
          <w:b/>
          <w:color w:val="000000"/>
          <w:sz w:val="28"/>
          <w:szCs w:val="28"/>
        </w:rPr>
        <w:t>一、竞争性</w:t>
      </w:r>
      <w:r>
        <w:rPr>
          <w:rFonts w:ascii="宋体" w:hAnsi="宋体"/>
          <w:b/>
          <w:sz w:val="28"/>
          <w:szCs w:val="28"/>
        </w:rPr>
        <w:t>磋商</w:t>
      </w:r>
      <w:r>
        <w:rPr>
          <w:rFonts w:hint="eastAsia" w:ascii="宋体" w:hAnsi="宋体"/>
          <w:b/>
          <w:sz w:val="28"/>
          <w:szCs w:val="28"/>
        </w:rPr>
        <w:t>公告</w:t>
      </w:r>
    </w:p>
    <w:p w14:paraId="02D93755">
      <w:pPr>
        <w:spacing w:line="360" w:lineRule="auto"/>
        <w:ind w:left="616"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二、采购</w:t>
      </w:r>
      <w:r>
        <w:rPr>
          <w:rFonts w:hint="eastAsia" w:ascii="新宋体" w:hAnsi="新宋体" w:eastAsia="新宋体"/>
          <w:b/>
          <w:color w:val="000000"/>
          <w:sz w:val="28"/>
          <w:szCs w:val="28"/>
          <w:lang w:val="zh-CN"/>
        </w:rPr>
        <w:t>需求</w:t>
      </w:r>
    </w:p>
    <w:p w14:paraId="7AD0FC22">
      <w:pPr>
        <w:spacing w:line="360" w:lineRule="auto"/>
        <w:ind w:left="616"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三、供应商须知</w:t>
      </w:r>
      <w:r>
        <w:rPr>
          <w:rFonts w:ascii="新宋体" w:hAnsi="新宋体" w:eastAsia="新宋体"/>
          <w:b/>
          <w:color w:val="000000"/>
          <w:sz w:val="28"/>
          <w:szCs w:val="28"/>
        </w:rPr>
        <w:t xml:space="preserve">  </w:t>
      </w:r>
    </w:p>
    <w:p w14:paraId="4912B2EA">
      <w:pPr>
        <w:spacing w:line="360" w:lineRule="auto"/>
        <w:ind w:left="616"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四、</w:t>
      </w:r>
      <w:r>
        <w:rPr>
          <w:rFonts w:hint="eastAsia" w:ascii="新宋体" w:hAnsi="新宋体" w:eastAsia="新宋体"/>
          <w:b/>
          <w:color w:val="000000"/>
          <w:sz w:val="28"/>
          <w:szCs w:val="28"/>
          <w:lang w:val="zh-CN"/>
        </w:rPr>
        <w:t>评标办法及评分标准</w:t>
      </w:r>
    </w:p>
    <w:p w14:paraId="4F8883FE">
      <w:pPr>
        <w:spacing w:line="360" w:lineRule="auto"/>
        <w:ind w:firstLine="703" w:firstLineChars="250"/>
        <w:jc w:val="left"/>
        <w:rPr>
          <w:rFonts w:ascii="新宋体" w:hAnsi="新宋体" w:eastAsia="新宋体"/>
          <w:b/>
          <w:color w:val="000000"/>
          <w:sz w:val="28"/>
          <w:szCs w:val="28"/>
        </w:rPr>
      </w:pPr>
      <w:r>
        <w:rPr>
          <w:rFonts w:ascii="新宋体" w:hAnsi="新宋体" w:eastAsia="新宋体"/>
          <w:b/>
          <w:color w:val="000000"/>
          <w:sz w:val="28"/>
          <w:szCs w:val="28"/>
        </w:rPr>
        <w:t xml:space="preserve"> </w:t>
      </w:r>
      <w:r>
        <w:rPr>
          <w:rFonts w:hint="eastAsia" w:ascii="新宋体" w:hAnsi="新宋体" w:eastAsia="新宋体"/>
          <w:b/>
          <w:color w:val="000000"/>
          <w:sz w:val="28"/>
          <w:szCs w:val="28"/>
          <w:lang w:val="en-US" w:eastAsia="zh-CN"/>
        </w:rPr>
        <w:t xml:space="preserve">  </w:t>
      </w:r>
      <w:r>
        <w:rPr>
          <w:rFonts w:hint="eastAsia" w:ascii="新宋体" w:hAnsi="新宋体" w:eastAsia="新宋体"/>
          <w:b/>
          <w:color w:val="000000"/>
          <w:sz w:val="28"/>
          <w:szCs w:val="28"/>
        </w:rPr>
        <w:t>五、</w:t>
      </w:r>
      <w:r>
        <w:rPr>
          <w:rFonts w:hint="eastAsia" w:ascii="宋体" w:hAnsi="宋体"/>
          <w:b/>
          <w:sz w:val="28"/>
          <w:szCs w:val="28"/>
        </w:rPr>
        <w:t>合同主要条款</w:t>
      </w:r>
      <w:r>
        <w:rPr>
          <w:rFonts w:ascii="新宋体" w:hAnsi="新宋体" w:eastAsia="新宋体"/>
          <w:b/>
          <w:color w:val="000000"/>
          <w:sz w:val="28"/>
          <w:szCs w:val="28"/>
        </w:rPr>
        <w:t xml:space="preserve">       </w:t>
      </w:r>
    </w:p>
    <w:p w14:paraId="74973DC1">
      <w:pPr>
        <w:spacing w:line="360" w:lineRule="auto"/>
        <w:ind w:left="616"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六、磋商响应文件格式附件</w:t>
      </w:r>
    </w:p>
    <w:p w14:paraId="6D5BA98B">
      <w:pPr>
        <w:pStyle w:val="13"/>
        <w:snapToGrid w:val="0"/>
        <w:spacing w:before="120" w:after="120" w:line="360" w:lineRule="exact"/>
        <w:jc w:val="center"/>
        <w:outlineLvl w:val="0"/>
        <w:rPr>
          <w:rFonts w:hint="eastAsia" w:hAnsi="宋体" w:eastAsia="宋体" w:cs="宋体"/>
          <w:b/>
          <w:bCs/>
          <w:sz w:val="36"/>
          <w:szCs w:val="36"/>
        </w:rPr>
        <w:sectPr>
          <w:footerReference r:id="rId6"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0" w:name="_Toc277078921"/>
      <w:bookmarkStart w:id="1" w:name="_Toc248896172"/>
      <w:bookmarkStart w:id="2" w:name="_Toc261001136"/>
      <w:bookmarkStart w:id="3" w:name="_Toc237079649"/>
      <w:bookmarkStart w:id="4" w:name="_Toc261001044"/>
      <w:bookmarkStart w:id="5" w:name="_Toc255821799"/>
      <w:bookmarkStart w:id="6" w:name="_Toc255819805"/>
      <w:bookmarkStart w:id="7" w:name="_Toc290043085"/>
      <w:bookmarkStart w:id="8" w:name="_Toc238443285"/>
      <w:bookmarkStart w:id="9" w:name="_Toc239128656"/>
      <w:bookmarkStart w:id="10" w:name="_Toc248896024"/>
      <w:bookmarkStart w:id="11" w:name="_Toc237656250"/>
      <w:bookmarkStart w:id="12" w:name="_Toc237138373"/>
      <w:bookmarkStart w:id="13" w:name="_Toc218007959"/>
      <w:bookmarkStart w:id="14" w:name="_Toc283973049"/>
      <w:bookmarkStart w:id="15" w:name="_Toc292375873"/>
      <w:bookmarkStart w:id="16" w:name="_Toc302983069"/>
      <w:bookmarkStart w:id="17" w:name="_Toc255459621"/>
      <w:bookmarkStart w:id="18" w:name="_Toc301444164"/>
      <w:bookmarkStart w:id="19" w:name="_Toc218007228"/>
      <w:bookmarkStart w:id="20" w:name="_Toc240724029"/>
      <w:bookmarkStart w:id="21" w:name="_Toc240724364"/>
      <w:bookmarkStart w:id="22" w:name="_Toc306901421"/>
      <w:bookmarkStart w:id="23" w:name="_Toc217998399"/>
      <w:bookmarkStart w:id="24" w:name="_Toc248896331"/>
    </w:p>
    <w:p w14:paraId="4586E3F2">
      <w:pPr>
        <w:pStyle w:val="13"/>
        <w:snapToGrid w:val="0"/>
        <w:spacing w:before="120" w:after="120" w:line="360" w:lineRule="exact"/>
        <w:jc w:val="center"/>
        <w:outlineLvl w:val="0"/>
        <w:rPr>
          <w:rFonts w:ascii="黑体" w:hAnsi="宋体" w:eastAsia="黑体"/>
          <w:sz w:val="30"/>
          <w:szCs w:val="30"/>
        </w:rPr>
      </w:pPr>
      <w:r>
        <w:rPr>
          <w:rFonts w:hint="eastAsia" w:hAnsi="宋体" w:eastAsia="宋体" w:cs="宋体"/>
          <w:b/>
          <w:bCs/>
          <w:sz w:val="36"/>
          <w:szCs w:val="36"/>
        </w:rPr>
        <w:t>第一章 竞争性磋商公告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2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13F3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948" w:type="dxa"/>
            <w:noWrap/>
          </w:tcPr>
          <w:p w14:paraId="515895F8">
            <w:pPr>
              <w:pStyle w:val="23"/>
              <w:spacing w:beforeAutospacing="0" w:afterAutospacing="0" w:line="360" w:lineRule="auto"/>
              <w:rPr>
                <w:rFonts w:hint="default" w:eastAsia="宋体" w:cs="宋体"/>
                <w:sz w:val="21"/>
                <w:szCs w:val="21"/>
              </w:rPr>
            </w:pPr>
            <w:bookmarkStart w:id="25" w:name="B30_其他事项"/>
          </w:p>
          <w:p w14:paraId="2DB1B481">
            <w:pPr>
              <w:pStyle w:val="23"/>
              <w:spacing w:beforeAutospacing="0" w:afterAutospacing="0" w:line="360" w:lineRule="auto"/>
              <w:rPr>
                <w:rFonts w:hint="default" w:eastAsia="宋体" w:cs="宋体"/>
                <w:sz w:val="21"/>
                <w:szCs w:val="21"/>
              </w:rPr>
            </w:pPr>
            <w:r>
              <w:rPr>
                <w:rFonts w:eastAsia="宋体" w:cs="宋体"/>
                <w:sz w:val="21"/>
                <w:szCs w:val="21"/>
              </w:rPr>
              <w:t>项目概况</w:t>
            </w:r>
          </w:p>
          <w:p w14:paraId="26E7258B">
            <w:pPr>
              <w:pStyle w:val="23"/>
              <w:spacing w:beforeAutospacing="0" w:afterAutospacing="0" w:line="360" w:lineRule="auto"/>
              <w:ind w:left="210" w:hanging="210" w:hangingChars="100"/>
              <w:jc w:val="both"/>
              <w:rPr>
                <w:rFonts w:hint="default" w:cs="宋体"/>
                <w:b/>
                <w:kern w:val="2"/>
                <w:sz w:val="21"/>
                <w:szCs w:val="21"/>
              </w:rPr>
            </w:pPr>
            <w:r>
              <w:rPr>
                <w:rFonts w:eastAsia="宋体" w:cs="宋体"/>
                <w:sz w:val="21"/>
                <w:szCs w:val="21"/>
              </w:rPr>
              <w:t> </w:t>
            </w:r>
            <w:r>
              <w:rPr>
                <w:rFonts w:hint="eastAsia" w:eastAsia="宋体" w:cs="宋体"/>
                <w:sz w:val="21"/>
                <w:szCs w:val="21"/>
                <w:u w:val="none"/>
                <w:lang w:val="en-US" w:eastAsia="zh-CN"/>
              </w:rPr>
              <w:t xml:space="preserve">  </w:t>
            </w:r>
            <w:r>
              <w:rPr>
                <w:rFonts w:hint="eastAsia" w:eastAsia="宋体" w:cs="宋体"/>
                <w:sz w:val="21"/>
                <w:szCs w:val="21"/>
                <w:u w:val="single"/>
                <w:lang w:eastAsia="zh-CN"/>
              </w:rPr>
              <w:t>北城办事处改造工程</w:t>
            </w:r>
            <w:r>
              <w:rPr>
                <w:rFonts w:eastAsia="宋体" w:cs="宋体"/>
                <w:sz w:val="21"/>
                <w:szCs w:val="21"/>
                <w:u w:val="single"/>
              </w:rPr>
              <w:t>的</w:t>
            </w:r>
            <w:r>
              <w:rPr>
                <w:rFonts w:eastAsia="宋体" w:cs="宋体"/>
                <w:sz w:val="21"/>
                <w:szCs w:val="21"/>
              </w:rPr>
              <w:t>潜在供应商应在</w:t>
            </w:r>
            <w:r>
              <w:rPr>
                <w:rFonts w:eastAsia="宋体" w:cs="宋体"/>
                <w:sz w:val="21"/>
                <w:szCs w:val="21"/>
                <w:u w:val="single"/>
              </w:rPr>
              <w:t xml:space="preserve"> 线上获取 </w:t>
            </w:r>
            <w:r>
              <w:rPr>
                <w:rFonts w:eastAsia="宋体" w:cs="宋体"/>
                <w:sz w:val="21"/>
                <w:szCs w:val="21"/>
              </w:rPr>
              <w:t>获取（下载）采购文件，并于</w:t>
            </w:r>
            <w:r>
              <w:rPr>
                <w:rFonts w:hint="eastAsia" w:eastAsia="宋体" w:cs="宋体"/>
                <w:color w:val="0000FF"/>
                <w:sz w:val="21"/>
                <w:szCs w:val="21"/>
                <w:u w:val="single"/>
                <w:lang w:eastAsia="zh-CN"/>
              </w:rPr>
              <w:t xml:space="preserve">2025年 月 日14:30 </w:t>
            </w:r>
            <w:r>
              <w:rPr>
                <w:rFonts w:eastAsia="宋体" w:cs="宋体"/>
                <w:color w:val="0000FF"/>
                <w:sz w:val="21"/>
                <w:szCs w:val="21"/>
                <w:u w:val="single"/>
              </w:rPr>
              <w:t>（</w:t>
            </w:r>
            <w:r>
              <w:rPr>
                <w:rFonts w:eastAsia="宋体" w:cs="宋体"/>
                <w:sz w:val="21"/>
                <w:szCs w:val="21"/>
                <w:u w:val="single"/>
              </w:rPr>
              <w:t>北京时间）前提交（上传）响应文件</w:t>
            </w:r>
          </w:p>
        </w:tc>
      </w:tr>
    </w:tbl>
    <w:p w14:paraId="700D95F9">
      <w:pPr>
        <w:pStyle w:val="23"/>
        <w:widowControl w:val="0"/>
        <w:spacing w:beforeAutospacing="0" w:afterAutospacing="0" w:line="360" w:lineRule="auto"/>
        <w:ind w:left="420"/>
        <w:jc w:val="both"/>
        <w:rPr>
          <w:rFonts w:hint="default" w:cs="宋体"/>
          <w:b/>
          <w:kern w:val="2"/>
          <w:sz w:val="21"/>
          <w:szCs w:val="21"/>
        </w:rPr>
      </w:pPr>
    </w:p>
    <w:p w14:paraId="38B1A868">
      <w:pPr>
        <w:pStyle w:val="23"/>
        <w:widowControl w:val="0"/>
        <w:numPr>
          <w:ilvl w:val="0"/>
          <w:numId w:val="0"/>
        </w:numPr>
        <w:spacing w:beforeAutospacing="0" w:afterAutospacing="0" w:line="360" w:lineRule="auto"/>
        <w:jc w:val="both"/>
        <w:rPr>
          <w:rFonts w:hint="default" w:eastAsia="宋体" w:cs="宋体"/>
          <w:b/>
          <w:kern w:val="2"/>
          <w:sz w:val="21"/>
          <w:szCs w:val="21"/>
        </w:rPr>
      </w:pPr>
      <w:r>
        <w:rPr>
          <w:rFonts w:hint="eastAsia" w:eastAsia="宋体" w:cs="宋体"/>
          <w:b/>
          <w:kern w:val="2"/>
          <w:sz w:val="21"/>
          <w:szCs w:val="21"/>
          <w:lang w:eastAsia="zh-CN"/>
        </w:rPr>
        <w:t>一、</w:t>
      </w:r>
      <w:r>
        <w:rPr>
          <w:rFonts w:eastAsia="宋体" w:cs="宋体"/>
          <w:b/>
          <w:kern w:val="2"/>
          <w:sz w:val="21"/>
          <w:szCs w:val="21"/>
        </w:rPr>
        <w:t>项目基本情况</w:t>
      </w:r>
    </w:p>
    <w:p w14:paraId="741D9AE4">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项目编号：</w:t>
      </w:r>
      <w:r>
        <w:rPr>
          <w:rFonts w:hint="eastAsia" w:ascii="宋体" w:hAnsi="宋体" w:eastAsia="宋体" w:cs="宋体"/>
          <w:color w:val="auto"/>
          <w:kern w:val="0"/>
          <w:sz w:val="21"/>
          <w:szCs w:val="21"/>
          <w:lang w:eastAsia="zh-CN"/>
        </w:rPr>
        <w:t>BCJD[2025]0901号</w:t>
      </w:r>
    </w:p>
    <w:p w14:paraId="3D65772F">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项目名称：</w:t>
      </w:r>
      <w:r>
        <w:rPr>
          <w:rFonts w:hint="eastAsia" w:ascii="宋体" w:hAnsi="宋体" w:eastAsia="宋体" w:cs="宋体"/>
          <w:color w:val="auto"/>
          <w:kern w:val="0"/>
          <w:sz w:val="21"/>
          <w:szCs w:val="21"/>
          <w:lang w:eastAsia="zh-CN"/>
        </w:rPr>
        <w:t>北城办事处改造工程</w:t>
      </w:r>
    </w:p>
    <w:p w14:paraId="7EBF3DE0">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采购方式：竞争性磋商</w:t>
      </w:r>
    </w:p>
    <w:p w14:paraId="0065E097">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预算金额（元）：</w:t>
      </w:r>
      <w:r>
        <w:rPr>
          <w:rFonts w:hint="eastAsia" w:ascii="宋体" w:hAnsi="宋体" w:eastAsia="宋体" w:cs="宋体"/>
          <w:color w:val="auto"/>
          <w:kern w:val="0"/>
          <w:sz w:val="21"/>
          <w:szCs w:val="21"/>
          <w:lang w:eastAsia="zh-CN"/>
        </w:rPr>
        <w:t>1406890</w:t>
      </w:r>
    </w:p>
    <w:p w14:paraId="3F09467B">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最高限价（元）：</w:t>
      </w:r>
      <w:r>
        <w:rPr>
          <w:rFonts w:hint="eastAsia" w:ascii="宋体" w:hAnsi="宋体" w:eastAsia="宋体" w:cs="宋体"/>
          <w:color w:val="auto"/>
          <w:kern w:val="0"/>
          <w:sz w:val="21"/>
          <w:szCs w:val="21"/>
          <w:lang w:eastAsia="zh-CN"/>
        </w:rPr>
        <w:t>1223994</w:t>
      </w:r>
      <w:r>
        <w:rPr>
          <w:rFonts w:hint="eastAsia" w:ascii="宋体" w:hAnsi="宋体" w:eastAsia="宋体" w:cs="宋体"/>
          <w:i w:val="0"/>
          <w:caps w:val="0"/>
          <w:color w:val="auto"/>
          <w:spacing w:val="0"/>
          <w:sz w:val="21"/>
          <w:szCs w:val="21"/>
          <w:highlight w:val="none"/>
          <w:lang w:val="en-US" w:eastAsia="zh-CN"/>
        </w:rPr>
        <w:t>（招标控制价*87%）</w:t>
      </w:r>
    </w:p>
    <w:p w14:paraId="6431B02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采购需求：</w:t>
      </w:r>
    </w:p>
    <w:p w14:paraId="6B899F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caps w:val="0"/>
          <w:color w:val="auto"/>
          <w:spacing w:val="0"/>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lang w:val="en-US" w:eastAsia="zh-CN" w:bidi="ar"/>
        </w:rPr>
        <w:t>             </w:t>
      </w:r>
    </w:p>
    <w:p w14:paraId="7CB7DA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   数量：</w:t>
      </w:r>
      <w:r>
        <w:rPr>
          <w:rFonts w:hint="eastAsia" w:ascii="宋体" w:hAnsi="宋体" w:cs="宋体"/>
          <w:i w:val="0"/>
          <w:caps w:val="0"/>
          <w:color w:val="auto"/>
          <w:spacing w:val="0"/>
          <w:kern w:val="0"/>
          <w:sz w:val="21"/>
          <w:szCs w:val="21"/>
          <w:highlight w:val="none"/>
          <w:lang w:val="en-US" w:eastAsia="zh-CN" w:bidi="ar"/>
        </w:rPr>
        <w:t>1</w:t>
      </w:r>
      <w:r>
        <w:rPr>
          <w:rFonts w:hint="eastAsia" w:ascii="宋体" w:hAnsi="宋体" w:eastAsia="宋体" w:cs="宋体"/>
          <w:i w:val="0"/>
          <w:caps w:val="0"/>
          <w:color w:val="auto"/>
          <w:spacing w:val="0"/>
          <w:kern w:val="0"/>
          <w:sz w:val="21"/>
          <w:szCs w:val="21"/>
          <w:highlight w:val="none"/>
          <w:lang w:val="en-US" w:eastAsia="zh-CN" w:bidi="ar"/>
        </w:rPr>
        <w:t>           </w:t>
      </w:r>
    </w:p>
    <w:p w14:paraId="6FC938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 xml:space="preserve">  </w:t>
      </w:r>
      <w:r>
        <w:rPr>
          <w:rFonts w:hint="eastAsia" w:ascii="宋体" w:hAnsi="宋体" w:eastAsia="宋体" w:cs="宋体"/>
          <w:i w:val="0"/>
          <w:caps w:val="0"/>
          <w:color w:val="auto"/>
          <w:spacing w:val="0"/>
          <w:sz w:val="21"/>
          <w:szCs w:val="21"/>
          <w:highlight w:val="none"/>
          <w:lang w:val="en-US" w:eastAsia="zh-CN"/>
        </w:rPr>
        <w:t xml:space="preserve"> </w:t>
      </w:r>
      <w:r>
        <w:rPr>
          <w:rFonts w:hint="eastAsia" w:ascii="宋体" w:hAnsi="宋体" w:eastAsia="宋体" w:cs="宋体"/>
          <w:i w:val="0"/>
          <w:caps w:val="0"/>
          <w:color w:val="auto"/>
          <w:spacing w:val="0"/>
          <w:sz w:val="21"/>
          <w:szCs w:val="21"/>
          <w:highlight w:val="none"/>
        </w:rPr>
        <w:t>预算金额（元）：</w:t>
      </w:r>
      <w:r>
        <w:rPr>
          <w:rFonts w:hint="eastAsia" w:cs="宋体"/>
          <w:i w:val="0"/>
          <w:caps w:val="0"/>
          <w:color w:val="auto"/>
          <w:spacing w:val="0"/>
          <w:sz w:val="21"/>
          <w:szCs w:val="21"/>
          <w:highlight w:val="none"/>
          <w:lang w:eastAsia="zh-CN"/>
        </w:rPr>
        <w:t>1406890</w:t>
      </w:r>
      <w:r>
        <w:rPr>
          <w:rFonts w:hint="eastAsia" w:ascii="宋体" w:hAnsi="宋体" w:eastAsia="宋体" w:cs="宋体"/>
          <w:i w:val="0"/>
          <w:caps w:val="0"/>
          <w:color w:val="auto"/>
          <w:spacing w:val="0"/>
          <w:sz w:val="21"/>
          <w:szCs w:val="21"/>
          <w:highlight w:val="none"/>
        </w:rPr>
        <w:t> </w:t>
      </w:r>
    </w:p>
    <w:p w14:paraId="390183B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xml:space="preserve">  </w:t>
      </w:r>
      <w:r>
        <w:rPr>
          <w:rFonts w:hint="eastAsia" w:ascii="宋体" w:hAnsi="宋体" w:eastAsia="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单位：</w:t>
      </w:r>
      <w:r>
        <w:rPr>
          <w:rFonts w:hint="eastAsia" w:cs="宋体"/>
          <w:i w:val="0"/>
          <w:caps w:val="0"/>
          <w:color w:val="auto"/>
          <w:spacing w:val="0"/>
          <w:sz w:val="21"/>
          <w:szCs w:val="21"/>
          <w:lang w:val="en-US" w:eastAsia="zh-CN"/>
        </w:rPr>
        <w:t>项</w:t>
      </w:r>
      <w:r>
        <w:rPr>
          <w:rFonts w:hint="eastAsia" w:ascii="宋体" w:hAnsi="宋体" w:eastAsia="宋体" w:cs="宋体"/>
          <w:i w:val="0"/>
          <w:caps w:val="0"/>
          <w:color w:val="auto"/>
          <w:spacing w:val="0"/>
          <w:sz w:val="21"/>
          <w:szCs w:val="21"/>
        </w:rPr>
        <w:t> </w:t>
      </w:r>
    </w:p>
    <w:p w14:paraId="2479DA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xml:space="preserve">  </w:t>
      </w:r>
      <w:r>
        <w:rPr>
          <w:rFonts w:hint="eastAsia" w:ascii="宋体" w:hAnsi="宋体" w:eastAsia="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简要规格描述：</w:t>
      </w:r>
      <w:r>
        <w:rPr>
          <w:rFonts w:hint="eastAsia" w:cs="宋体"/>
          <w:i w:val="0"/>
          <w:caps w:val="0"/>
          <w:color w:val="auto"/>
          <w:spacing w:val="0"/>
          <w:sz w:val="21"/>
          <w:szCs w:val="21"/>
          <w:lang w:val="en-US" w:eastAsia="zh-CN"/>
        </w:rPr>
        <w:t>详见采购文件</w:t>
      </w:r>
      <w:r>
        <w:rPr>
          <w:rFonts w:hint="eastAsia" w:ascii="宋体" w:hAnsi="宋体" w:eastAsia="宋体" w:cs="宋体"/>
          <w:i w:val="0"/>
          <w:caps w:val="0"/>
          <w:color w:val="auto"/>
          <w:spacing w:val="0"/>
          <w:sz w:val="21"/>
          <w:szCs w:val="21"/>
        </w:rPr>
        <w:t> </w:t>
      </w:r>
    </w:p>
    <w:p w14:paraId="7687667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 xml:space="preserve">  </w:t>
      </w:r>
      <w:r>
        <w:rPr>
          <w:rFonts w:hint="eastAsia" w:ascii="宋体" w:hAnsi="宋体" w:eastAsia="宋体" w:cs="宋体"/>
          <w:i w:val="0"/>
          <w:caps w:val="0"/>
          <w:color w:val="auto"/>
          <w:spacing w:val="0"/>
          <w:sz w:val="21"/>
          <w:szCs w:val="21"/>
          <w:lang w:val="en-US" w:eastAsia="zh-CN"/>
        </w:rPr>
        <w:t xml:space="preserve"> </w:t>
      </w:r>
      <w:r>
        <w:rPr>
          <w:rFonts w:hint="eastAsia" w:ascii="宋体" w:hAnsi="宋体" w:eastAsia="宋体" w:cs="宋体"/>
          <w:i w:val="0"/>
          <w:caps w:val="0"/>
          <w:color w:val="auto"/>
          <w:spacing w:val="0"/>
          <w:sz w:val="21"/>
          <w:szCs w:val="21"/>
        </w:rPr>
        <w:t>备注： </w:t>
      </w:r>
    </w:p>
    <w:p w14:paraId="7625D0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auto"/>
          <w:spacing w:val="0"/>
          <w:sz w:val="21"/>
          <w:szCs w:val="21"/>
          <w:lang w:val="en-US" w:eastAsia="zh-CN"/>
        </w:rPr>
      </w:pPr>
      <w:r>
        <w:rPr>
          <w:rFonts w:hint="eastAsia" w:ascii="宋体" w:hAnsi="宋体" w:eastAsia="宋体" w:cs="宋体"/>
          <w:i w:val="0"/>
          <w:caps w:val="0"/>
          <w:color w:val="auto"/>
          <w:spacing w:val="0"/>
          <w:sz w:val="21"/>
          <w:szCs w:val="21"/>
        </w:rPr>
        <w:t xml:space="preserve">  </w:t>
      </w:r>
      <w:r>
        <w:rPr>
          <w:rFonts w:hint="eastAsia" w:ascii="宋体" w:hAnsi="宋体" w:eastAsia="宋体" w:cs="宋体"/>
          <w:i w:val="0"/>
          <w:caps w:val="0"/>
          <w:color w:val="auto"/>
          <w:spacing w:val="0"/>
          <w:sz w:val="21"/>
          <w:szCs w:val="21"/>
          <w:lang w:val="en-US" w:eastAsia="zh-CN"/>
        </w:rPr>
        <w:t xml:space="preserve"> </w:t>
      </w:r>
    </w:p>
    <w:p w14:paraId="00765AB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caps w:val="0"/>
          <w:color w:val="auto"/>
          <w:spacing w:val="0"/>
          <w:sz w:val="21"/>
          <w:szCs w:val="21"/>
          <w:highlight w:val="none"/>
        </w:rPr>
        <w:t>合同履约期限：标项 1，</w:t>
      </w:r>
      <w:r>
        <w:rPr>
          <w:rFonts w:hint="eastAsia" w:cs="宋体"/>
          <w:color w:val="auto"/>
          <w:sz w:val="21"/>
          <w:szCs w:val="21"/>
          <w:highlight w:val="none"/>
          <w:lang w:val="en-US" w:eastAsia="zh-CN"/>
        </w:rPr>
        <w:t>不超过60日历天。</w:t>
      </w:r>
      <w:r>
        <w:rPr>
          <w:rFonts w:hint="eastAsia" w:ascii="宋体" w:hAnsi="宋体" w:eastAsia="宋体" w:cs="宋体"/>
          <w:i w:val="0"/>
          <w:caps w:val="0"/>
          <w:color w:val="auto"/>
          <w:spacing w:val="0"/>
          <w:sz w:val="21"/>
          <w:szCs w:val="21"/>
          <w:highlight w:val="none"/>
        </w:rPr>
        <w:t>  </w:t>
      </w:r>
    </w:p>
    <w:p w14:paraId="09B411A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本项目（否）接受联合体投标。</w:t>
      </w:r>
    </w:p>
    <w:p w14:paraId="4A568084">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eastAsia="宋体" w:cs="宋体"/>
          <w:b/>
          <w:color w:val="auto"/>
          <w:kern w:val="2"/>
          <w:sz w:val="21"/>
          <w:szCs w:val="21"/>
        </w:rPr>
      </w:pPr>
      <w:r>
        <w:rPr>
          <w:rFonts w:hint="eastAsia" w:eastAsia="宋体" w:cs="宋体"/>
          <w:b/>
          <w:color w:val="auto"/>
          <w:kern w:val="2"/>
          <w:sz w:val="21"/>
          <w:szCs w:val="21"/>
          <w:lang w:eastAsia="zh-CN"/>
        </w:rPr>
        <w:t>二、</w:t>
      </w:r>
      <w:r>
        <w:rPr>
          <w:rFonts w:eastAsia="宋体" w:cs="宋体"/>
          <w:b/>
          <w:color w:val="auto"/>
          <w:kern w:val="2"/>
          <w:sz w:val="21"/>
          <w:szCs w:val="21"/>
        </w:rPr>
        <w:t>申请人的资格要求：</w:t>
      </w:r>
    </w:p>
    <w:p w14:paraId="6CD0B407">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3D503667">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2.落实政府采购政策需满足的资格要求：标项1：本项目为专门面向中小企业采购的项目，</w:t>
      </w:r>
      <w:r>
        <w:rPr>
          <w:rFonts w:hint="eastAsia" w:eastAsia="宋体" w:cs="宋体"/>
          <w:color w:val="auto"/>
          <w:kern w:val="0"/>
          <w:sz w:val="21"/>
          <w:szCs w:val="21"/>
          <w:lang w:val="en-US" w:eastAsia="zh-CN" w:bidi="ar-SA"/>
        </w:rPr>
        <w:t>供应商应为中小微企业、监狱企业、残疾人福利性单位</w:t>
      </w:r>
      <w:r>
        <w:rPr>
          <w:rFonts w:hint="eastAsia" w:ascii="宋体" w:hAnsi="宋体" w:eastAsia="宋体" w:cs="宋体"/>
          <w:color w:val="auto"/>
          <w:kern w:val="0"/>
          <w:sz w:val="21"/>
          <w:szCs w:val="21"/>
          <w:lang w:val="en-US" w:eastAsia="zh-CN" w:bidi="ar-SA"/>
        </w:rPr>
        <w:t>。 </w:t>
      </w:r>
    </w:p>
    <w:p w14:paraId="252D804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3.单位负责人为同一人或者存在直接控股、管理关系的不同供应商，不得参加同一合同项下的政府采购活动。</w:t>
      </w:r>
    </w:p>
    <w:p w14:paraId="084BFAA8">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4.为采购项目提供整体设计、规范编制或者项目管理、监理、检测等服务的供应商，不得再参加该采购项目的其他采购活动。</w:t>
      </w:r>
    </w:p>
    <w:p w14:paraId="2CB2B34F">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eastAsia="宋体" w:cs="宋体"/>
          <w:color w:val="auto"/>
          <w:kern w:val="0"/>
          <w:sz w:val="21"/>
          <w:szCs w:val="21"/>
          <w:lang w:val="en-US" w:eastAsia="zh-CN" w:bidi="ar-SA"/>
        </w:rPr>
      </w:pPr>
      <w:r>
        <w:rPr>
          <w:rFonts w:hint="eastAsia" w:eastAsia="宋体" w:cs="宋体"/>
          <w:color w:val="auto"/>
          <w:kern w:val="0"/>
          <w:sz w:val="21"/>
          <w:szCs w:val="21"/>
          <w:lang w:val="en-US" w:eastAsia="zh-CN" w:bidi="ar-SA"/>
        </w:rPr>
        <w:t>5</w:t>
      </w:r>
      <w:r>
        <w:rPr>
          <w:rFonts w:hint="eastAsia" w:ascii="宋体" w:hAnsi="宋体" w:eastAsia="宋体" w:cs="宋体"/>
          <w:color w:val="auto"/>
          <w:kern w:val="0"/>
          <w:sz w:val="21"/>
          <w:szCs w:val="21"/>
          <w:lang w:val="en-US" w:eastAsia="zh-CN" w:bidi="ar-SA"/>
        </w:rPr>
        <w:t>.本项目的特定资格要求：</w:t>
      </w:r>
      <w:r>
        <w:rPr>
          <w:rFonts w:hint="eastAsia" w:eastAsia="宋体" w:cs="宋体"/>
          <w:color w:val="auto"/>
          <w:kern w:val="0"/>
          <w:sz w:val="21"/>
          <w:szCs w:val="21"/>
          <w:lang w:val="en-US" w:eastAsia="zh-CN" w:bidi="ar-SA"/>
        </w:rPr>
        <w:t>标项1：</w:t>
      </w:r>
      <w:r>
        <w:rPr>
          <w:rFonts w:hint="eastAsia" w:ascii="宋体" w:hAnsi="宋体" w:eastAsia="宋体" w:cs="宋体"/>
          <w:kern w:val="0"/>
          <w:sz w:val="21"/>
          <w:szCs w:val="21"/>
          <w:lang w:val="en-US" w:eastAsia="zh-CN" w:bidi="ar-SA"/>
        </w:rPr>
        <w:t>（1）</w:t>
      </w:r>
      <w:r>
        <w:rPr>
          <w:rFonts w:hint="eastAsia" w:eastAsia="宋体" w:cs="宋体"/>
          <w:kern w:val="0"/>
          <w:sz w:val="21"/>
          <w:szCs w:val="21"/>
          <w:lang w:val="en-US" w:eastAsia="zh-CN" w:bidi="ar-SA"/>
        </w:rPr>
        <w:t>建筑装修装饰工程专业承包二级</w:t>
      </w:r>
      <w:r>
        <w:rPr>
          <w:rFonts w:hint="eastAsia" w:ascii="宋体" w:hAnsi="宋体" w:eastAsia="宋体" w:cs="宋体"/>
          <w:kern w:val="0"/>
          <w:sz w:val="21"/>
          <w:szCs w:val="21"/>
          <w:lang w:val="en-US" w:eastAsia="zh-CN" w:bidi="ar-SA"/>
        </w:rPr>
        <w:t>及以上（对应资质应在“浙江省建筑市场监管公共服务系统”上动态核查结果处于“合格”状态）</w:t>
      </w:r>
      <w:r>
        <w:rPr>
          <w:rFonts w:hint="eastAsia" w:eastAsia="宋体" w:cs="宋体"/>
          <w:color w:val="auto"/>
          <w:kern w:val="0"/>
          <w:sz w:val="21"/>
          <w:szCs w:val="21"/>
          <w:lang w:val="en-US" w:eastAsia="zh-CN" w:bidi="ar-SA"/>
        </w:rPr>
        <w:t>；</w:t>
      </w:r>
    </w:p>
    <w:p w14:paraId="5A76BAB9">
      <w:pPr>
        <w:snapToGrid w:val="0"/>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（2）拟派项目负责人具有建筑工程专业注册建造师二级及以上资格且项目负责人不得有在建合同工程（建造师临时执业证书无效）。</w:t>
      </w:r>
    </w:p>
    <w:p w14:paraId="148152F9">
      <w:pPr>
        <w:snapToGrid w:val="0"/>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（3）具有有效的《安全生产许可证》。</w:t>
      </w:r>
    </w:p>
    <w:p w14:paraId="1BE7074E">
      <w:pPr>
        <w:snapToGrid w:val="0"/>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（4）《省外企业进浙承接业务备案证明》或“浙江省建筑市场监管公共服务系统”对外发布的通过审核形成的备案信息网页截图（仅指浙江省省外企业）。</w:t>
      </w:r>
    </w:p>
    <w:p w14:paraId="2B97ABEA">
      <w:pPr>
        <w:pStyle w:val="23"/>
        <w:widowControl w:val="0"/>
        <w:numPr>
          <w:ilvl w:val="0"/>
          <w:numId w:val="0"/>
        </w:numPr>
        <w:spacing w:beforeAutospacing="0" w:afterAutospacing="0" w:line="360" w:lineRule="auto"/>
        <w:jc w:val="both"/>
        <w:rPr>
          <w:rFonts w:hint="default" w:eastAsia="宋体" w:cs="宋体"/>
          <w:b/>
          <w:color w:val="auto"/>
          <w:kern w:val="2"/>
          <w:sz w:val="21"/>
          <w:szCs w:val="21"/>
        </w:rPr>
      </w:pPr>
      <w:r>
        <w:rPr>
          <w:rFonts w:hint="eastAsia" w:eastAsia="宋体" w:cs="宋体"/>
          <w:b/>
          <w:color w:val="auto"/>
          <w:kern w:val="2"/>
          <w:sz w:val="21"/>
          <w:szCs w:val="21"/>
          <w:lang w:eastAsia="zh-CN"/>
        </w:rPr>
        <w:t>三、</w:t>
      </w:r>
      <w:r>
        <w:rPr>
          <w:rFonts w:eastAsia="宋体" w:cs="宋体"/>
          <w:b/>
          <w:color w:val="auto"/>
          <w:kern w:val="2"/>
          <w:sz w:val="21"/>
          <w:szCs w:val="21"/>
        </w:rPr>
        <w:t>获取</w:t>
      </w:r>
      <w:r>
        <w:rPr>
          <w:rFonts w:hint="eastAsia" w:eastAsia="宋体" w:cs="宋体"/>
          <w:b/>
          <w:color w:val="auto"/>
          <w:kern w:val="2"/>
          <w:sz w:val="21"/>
          <w:szCs w:val="21"/>
          <w:lang w:eastAsia="zh-CN"/>
        </w:rPr>
        <w:t>（下载）采购文件</w:t>
      </w:r>
      <w:r>
        <w:rPr>
          <w:rFonts w:eastAsia="宋体" w:cs="宋体"/>
          <w:b/>
          <w:color w:val="auto"/>
          <w:kern w:val="2"/>
          <w:sz w:val="21"/>
          <w:szCs w:val="21"/>
        </w:rPr>
        <w:t>：</w:t>
      </w:r>
    </w:p>
    <w:p w14:paraId="12B7FD8D">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时间：/至</w:t>
      </w:r>
      <w:r>
        <w:rPr>
          <w:rFonts w:hint="eastAsia" w:ascii="宋体" w:hAnsi="宋体" w:eastAsia="宋体" w:cs="宋体"/>
          <w:color w:val="auto"/>
          <w:kern w:val="0"/>
          <w:sz w:val="21"/>
          <w:szCs w:val="21"/>
          <w:lang w:eastAsia="zh-CN"/>
        </w:rPr>
        <w:t>2025年 月 日</w:t>
      </w:r>
      <w:r>
        <w:rPr>
          <w:rFonts w:hint="eastAsia" w:ascii="宋体" w:hAnsi="宋体" w:eastAsia="宋体" w:cs="宋体"/>
          <w:color w:val="auto"/>
          <w:kern w:val="0"/>
          <w:sz w:val="21"/>
          <w:szCs w:val="21"/>
        </w:rPr>
        <w:t>，每天上午00:00至12:00，下午12:00至23:59（北京时间，线上获取法定节假日均可，线下获取文件法定节假日除外）</w:t>
      </w:r>
    </w:p>
    <w:p w14:paraId="4460E734">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地点（网址）：浙江政府采购网（</w:t>
      </w:r>
      <w:r>
        <w:rPr>
          <w:rFonts w:hint="eastAsia" w:ascii="宋体" w:hAnsi="宋体" w:eastAsia="宋体" w:cs="宋体"/>
          <w:color w:val="auto"/>
          <w:kern w:val="0"/>
          <w:sz w:val="21"/>
          <w:szCs w:val="21"/>
          <w:lang w:eastAsia="zh-CN"/>
        </w:rPr>
        <w:t>https://zfcg.czt.zj.gov.cn/</w:t>
      </w:r>
      <w:r>
        <w:rPr>
          <w:rFonts w:hint="eastAsia" w:ascii="宋体" w:hAnsi="宋体" w:eastAsia="宋体" w:cs="宋体"/>
          <w:color w:val="auto"/>
          <w:kern w:val="0"/>
          <w:sz w:val="21"/>
          <w:szCs w:val="21"/>
        </w:rPr>
        <w:t>） </w:t>
      </w:r>
    </w:p>
    <w:p w14:paraId="268F0516">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方式：供应商登录政采云平台https://www.zcygov.cn/在线申请获取采购文件（进入“项目采购”应用，在获取采购文件菜单中选择项目，申请获取采购文件） </w:t>
      </w:r>
    </w:p>
    <w:p w14:paraId="1D91CF77">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售价（元）：0</w:t>
      </w:r>
    </w:p>
    <w:p w14:paraId="57AD3D87">
      <w:pPr>
        <w:pStyle w:val="23"/>
        <w:widowControl w:val="0"/>
        <w:numPr>
          <w:ilvl w:val="0"/>
          <w:numId w:val="0"/>
        </w:numPr>
        <w:spacing w:beforeAutospacing="0" w:afterAutospacing="0" w:line="360" w:lineRule="auto"/>
        <w:jc w:val="both"/>
        <w:rPr>
          <w:rFonts w:hint="default" w:eastAsia="宋体" w:cs="宋体"/>
          <w:color w:val="auto"/>
          <w:sz w:val="21"/>
          <w:szCs w:val="21"/>
          <w:u w:val="single"/>
        </w:rPr>
      </w:pPr>
      <w:r>
        <w:rPr>
          <w:rFonts w:hint="eastAsia" w:ascii="宋体" w:hAnsi="宋体" w:eastAsia="宋体" w:cs="宋体"/>
          <w:b/>
          <w:color w:val="auto"/>
          <w:kern w:val="2"/>
          <w:sz w:val="21"/>
          <w:szCs w:val="21"/>
          <w:lang w:eastAsia="zh-CN"/>
        </w:rPr>
        <w:t>四、</w:t>
      </w:r>
      <w:r>
        <w:rPr>
          <w:rFonts w:hint="eastAsia" w:ascii="宋体" w:hAnsi="宋体" w:eastAsia="宋体" w:cs="宋体"/>
          <w:b/>
          <w:color w:val="auto"/>
          <w:kern w:val="2"/>
          <w:sz w:val="21"/>
          <w:szCs w:val="21"/>
        </w:rPr>
        <w:t>响应文件提交（上传）</w:t>
      </w:r>
      <w:r>
        <w:rPr>
          <w:rFonts w:hint="eastAsia" w:eastAsia="宋体" w:cs="宋体"/>
          <w:color w:val="auto"/>
          <w:sz w:val="21"/>
          <w:szCs w:val="21"/>
        </w:rPr>
        <w:t xml:space="preserve">       </w:t>
      </w:r>
    </w:p>
    <w:p w14:paraId="6A1AD2FF">
      <w:pPr>
        <w:pStyle w:val="23"/>
        <w:widowControl w:val="0"/>
        <w:numPr>
          <w:ilvl w:val="0"/>
          <w:numId w:val="0"/>
        </w:numPr>
        <w:spacing w:beforeAutospacing="0" w:afterAutospacing="0" w:line="360" w:lineRule="auto"/>
        <w:ind w:firstLine="420" w:firstLineChars="200"/>
        <w:jc w:val="both"/>
        <w:rPr>
          <w:rFonts w:hint="eastAsia" w:eastAsia="宋体" w:cs="宋体"/>
          <w:color w:val="auto"/>
          <w:sz w:val="21"/>
          <w:szCs w:val="21"/>
        </w:rPr>
      </w:pPr>
      <w:r>
        <w:rPr>
          <w:rFonts w:hint="eastAsia" w:eastAsia="宋体" w:cs="宋体"/>
          <w:color w:val="auto"/>
          <w:sz w:val="21"/>
          <w:szCs w:val="21"/>
        </w:rPr>
        <w:t>截止时间：</w:t>
      </w:r>
      <w:r>
        <w:rPr>
          <w:rFonts w:hint="eastAsia" w:eastAsia="宋体" w:cs="宋体"/>
          <w:color w:val="auto"/>
          <w:sz w:val="21"/>
          <w:szCs w:val="21"/>
          <w:lang w:eastAsia="zh-CN"/>
        </w:rPr>
        <w:t>2025年 月 日14:</w:t>
      </w:r>
      <w:r>
        <w:rPr>
          <w:rFonts w:hint="eastAsia" w:eastAsia="宋体" w:cs="宋体"/>
          <w:color w:val="auto"/>
          <w:sz w:val="21"/>
          <w:szCs w:val="21"/>
          <w:lang w:val="en-US" w:eastAsia="zh-CN"/>
        </w:rPr>
        <w:t>3</w:t>
      </w:r>
      <w:r>
        <w:rPr>
          <w:rFonts w:hint="eastAsia" w:eastAsia="宋体" w:cs="宋体"/>
          <w:color w:val="auto"/>
          <w:sz w:val="21"/>
          <w:szCs w:val="21"/>
          <w:lang w:eastAsia="zh-CN"/>
        </w:rPr>
        <w:t>0</w:t>
      </w:r>
      <w:r>
        <w:rPr>
          <w:rFonts w:hint="eastAsia" w:eastAsia="宋体" w:cs="宋体"/>
          <w:color w:val="auto"/>
          <w:sz w:val="21"/>
          <w:szCs w:val="21"/>
        </w:rPr>
        <w:t xml:space="preserve">（北京时间）      </w:t>
      </w:r>
    </w:p>
    <w:p w14:paraId="3FA423D7">
      <w:pPr>
        <w:pStyle w:val="23"/>
        <w:widowControl w:val="0"/>
        <w:numPr>
          <w:ilvl w:val="0"/>
          <w:numId w:val="0"/>
        </w:numPr>
        <w:spacing w:beforeAutospacing="0" w:afterAutospacing="0" w:line="360" w:lineRule="auto"/>
        <w:ind w:firstLine="420" w:firstLineChars="200"/>
        <w:jc w:val="both"/>
        <w:rPr>
          <w:rFonts w:hint="eastAsia" w:eastAsia="宋体" w:cs="宋体"/>
          <w:color w:val="auto"/>
          <w:sz w:val="21"/>
          <w:szCs w:val="21"/>
          <w:lang w:eastAsia="zh-CN"/>
        </w:rPr>
      </w:pPr>
      <w:r>
        <w:rPr>
          <w:rFonts w:hint="eastAsia" w:eastAsia="宋体" w:cs="宋体"/>
          <w:color w:val="auto"/>
          <w:sz w:val="21"/>
          <w:szCs w:val="21"/>
        </w:rPr>
        <w:t>地点（网址）：</w:t>
      </w:r>
      <w:r>
        <w:rPr>
          <w:rFonts w:hint="eastAsia" w:eastAsia="宋体" w:cs="宋体"/>
          <w:color w:val="auto"/>
          <w:sz w:val="21"/>
          <w:szCs w:val="21"/>
          <w:lang w:eastAsia="zh-CN"/>
        </w:rPr>
        <w:t>请登录政采云投标客户端投标</w:t>
      </w:r>
    </w:p>
    <w:p w14:paraId="5D5AE19E">
      <w:pPr>
        <w:pStyle w:val="23"/>
        <w:widowControl w:val="0"/>
        <w:numPr>
          <w:ilvl w:val="0"/>
          <w:numId w:val="1"/>
        </w:numPr>
        <w:spacing w:beforeAutospacing="0" w:afterAutospacing="0" w:line="360" w:lineRule="auto"/>
        <w:jc w:val="both"/>
        <w:rPr>
          <w:rFonts w:hint="eastAsia" w:ascii="宋体" w:hAnsi="宋体" w:eastAsia="宋体" w:cs="宋体"/>
          <w:b/>
          <w:color w:val="auto"/>
          <w:kern w:val="2"/>
          <w:sz w:val="21"/>
          <w:szCs w:val="21"/>
          <w:lang w:eastAsia="zh-CN"/>
        </w:rPr>
      </w:pPr>
      <w:r>
        <w:rPr>
          <w:rFonts w:hint="eastAsia" w:ascii="宋体" w:hAnsi="宋体" w:eastAsia="宋体" w:cs="宋体"/>
          <w:b/>
          <w:color w:val="auto"/>
          <w:kern w:val="2"/>
          <w:sz w:val="21"/>
          <w:szCs w:val="21"/>
          <w:lang w:eastAsia="zh-CN"/>
        </w:rPr>
        <w:t>响应文件开启</w:t>
      </w:r>
    </w:p>
    <w:p w14:paraId="49F98F49">
      <w:pPr>
        <w:pStyle w:val="23"/>
        <w:widowControl w:val="0"/>
        <w:numPr>
          <w:ilvl w:val="0"/>
          <w:numId w:val="0"/>
        </w:numPr>
        <w:spacing w:beforeAutospacing="0" w:afterAutospacing="0"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开启时间：</w:t>
      </w:r>
      <w:r>
        <w:rPr>
          <w:rFonts w:hint="eastAsia" w:eastAsia="宋体" w:cs="宋体"/>
          <w:color w:val="auto"/>
          <w:sz w:val="21"/>
          <w:szCs w:val="21"/>
          <w:lang w:eastAsia="zh-CN"/>
        </w:rPr>
        <w:t>2025年 月 日14:</w:t>
      </w:r>
      <w:r>
        <w:rPr>
          <w:rFonts w:hint="eastAsia" w:eastAsia="宋体" w:cs="宋体"/>
          <w:color w:val="auto"/>
          <w:sz w:val="21"/>
          <w:szCs w:val="21"/>
          <w:lang w:val="en-US" w:eastAsia="zh-CN"/>
        </w:rPr>
        <w:t>3</w:t>
      </w:r>
      <w:r>
        <w:rPr>
          <w:rFonts w:hint="eastAsia" w:eastAsia="宋体" w:cs="宋体"/>
          <w:color w:val="auto"/>
          <w:sz w:val="21"/>
          <w:szCs w:val="21"/>
          <w:lang w:eastAsia="zh-CN"/>
        </w:rPr>
        <w:t>0</w:t>
      </w:r>
      <w:r>
        <w:rPr>
          <w:rFonts w:hint="eastAsia" w:ascii="宋体" w:hAnsi="宋体" w:eastAsia="宋体" w:cs="宋体"/>
          <w:color w:val="auto"/>
          <w:sz w:val="21"/>
          <w:szCs w:val="21"/>
          <w:lang w:eastAsia="zh-CN"/>
        </w:rPr>
        <w:t xml:space="preserve">（北京时间）      </w:t>
      </w:r>
    </w:p>
    <w:p w14:paraId="17C896F5">
      <w:pPr>
        <w:pStyle w:val="23"/>
        <w:widowControl w:val="0"/>
        <w:numPr>
          <w:ilvl w:val="0"/>
          <w:numId w:val="0"/>
        </w:numPr>
        <w:spacing w:beforeAutospacing="0" w:afterAutospacing="0" w:line="360" w:lineRule="auto"/>
        <w:ind w:firstLine="420" w:firstLineChars="200"/>
        <w:jc w:val="both"/>
        <w:rPr>
          <w:rFonts w:hint="eastAsia" w:ascii="宋体" w:hAnsi="宋体" w:eastAsia="宋体" w:cs="宋体"/>
          <w:b w:val="0"/>
          <w:bCs w:val="0"/>
          <w:color w:val="auto"/>
          <w:kern w:val="2"/>
          <w:sz w:val="21"/>
          <w:szCs w:val="21"/>
          <w:lang w:eastAsia="zh-CN"/>
        </w:rPr>
      </w:pPr>
      <w:r>
        <w:rPr>
          <w:rFonts w:hint="eastAsia" w:ascii="宋体" w:hAnsi="宋体" w:eastAsia="宋体" w:cs="宋体"/>
          <w:color w:val="auto"/>
          <w:sz w:val="21"/>
          <w:szCs w:val="21"/>
          <w:lang w:eastAsia="zh-CN"/>
        </w:rPr>
        <w:t>地点（网址）：</w:t>
      </w:r>
      <w:r>
        <w:rPr>
          <w:rFonts w:hint="eastAsia" w:eastAsia="宋体" w:cs="宋体"/>
          <w:color w:val="auto"/>
          <w:sz w:val="21"/>
          <w:szCs w:val="21"/>
          <w:lang w:eastAsia="zh-CN"/>
        </w:rPr>
        <w:t>通过</w:t>
      </w:r>
      <w:r>
        <w:rPr>
          <w:rFonts w:hint="eastAsia" w:eastAsia="宋体" w:cs="宋体"/>
          <w:color w:val="auto"/>
          <w:sz w:val="21"/>
          <w:szCs w:val="21"/>
        </w:rPr>
        <w:t>政府采购云平台（https://www.zcygov.cn）在线</w:t>
      </w:r>
      <w:r>
        <w:rPr>
          <w:rFonts w:hint="eastAsia" w:ascii="宋体" w:hAnsi="宋体" w:eastAsia="宋体" w:cs="宋体"/>
          <w:b w:val="0"/>
          <w:bCs w:val="0"/>
          <w:color w:val="auto"/>
          <w:sz w:val="21"/>
          <w:szCs w:val="21"/>
          <w:lang w:eastAsia="zh-CN"/>
        </w:rPr>
        <w:t>开标</w:t>
      </w:r>
    </w:p>
    <w:p w14:paraId="115BF7E3">
      <w:pPr>
        <w:pStyle w:val="23"/>
        <w:widowControl w:val="0"/>
        <w:numPr>
          <w:ilvl w:val="0"/>
          <w:numId w:val="1"/>
        </w:numPr>
        <w:spacing w:beforeAutospacing="0" w:afterAutospacing="0" w:line="360" w:lineRule="auto"/>
        <w:ind w:left="0" w:leftChars="0" w:firstLine="0" w:firstLineChars="0"/>
        <w:jc w:val="both"/>
        <w:rPr>
          <w:rFonts w:hint="eastAsia" w:eastAsia="宋体"/>
          <w:b/>
          <w:color w:val="auto"/>
          <w:kern w:val="2"/>
          <w:sz w:val="21"/>
          <w:szCs w:val="21"/>
          <w:lang w:eastAsia="zh-CN"/>
        </w:rPr>
      </w:pPr>
      <w:r>
        <w:rPr>
          <w:rFonts w:hint="eastAsia" w:eastAsia="宋体"/>
          <w:b/>
          <w:color w:val="auto"/>
          <w:kern w:val="2"/>
          <w:sz w:val="21"/>
          <w:szCs w:val="21"/>
          <w:lang w:eastAsia="zh-CN"/>
        </w:rPr>
        <w:t>公告期限</w:t>
      </w:r>
    </w:p>
    <w:p w14:paraId="686D3F96">
      <w:pPr>
        <w:pStyle w:val="23"/>
        <w:widowControl w:val="0"/>
        <w:numPr>
          <w:ilvl w:val="0"/>
          <w:numId w:val="0"/>
        </w:numPr>
        <w:spacing w:beforeAutospacing="0" w:afterAutospacing="0" w:line="360" w:lineRule="auto"/>
        <w:ind w:leftChars="0"/>
        <w:jc w:val="both"/>
        <w:rPr>
          <w:rFonts w:hint="default" w:eastAsia="宋体"/>
          <w:b/>
          <w:color w:val="auto"/>
          <w:kern w:val="2"/>
          <w:sz w:val="21"/>
          <w:szCs w:val="21"/>
          <w:lang w:val="en-US" w:eastAsia="zh-CN"/>
        </w:rPr>
      </w:pPr>
      <w:r>
        <w:rPr>
          <w:rFonts w:hint="eastAsia" w:eastAsia="宋体"/>
          <w:b/>
          <w:color w:val="auto"/>
          <w:kern w:val="2"/>
          <w:sz w:val="21"/>
          <w:szCs w:val="21"/>
          <w:lang w:val="en-US" w:eastAsia="zh-CN"/>
        </w:rPr>
        <w:t xml:space="preserve">    </w:t>
      </w:r>
      <w:r>
        <w:rPr>
          <w:rFonts w:hint="eastAsia" w:eastAsia="宋体"/>
          <w:b w:val="0"/>
          <w:bCs/>
          <w:color w:val="auto"/>
          <w:kern w:val="2"/>
          <w:sz w:val="21"/>
          <w:szCs w:val="21"/>
          <w:lang w:val="en-US" w:eastAsia="zh-CN"/>
        </w:rPr>
        <w:t>自本公告发布之日起3个工作日。</w:t>
      </w:r>
    </w:p>
    <w:p w14:paraId="72C6FD00">
      <w:pPr>
        <w:spacing w:line="360" w:lineRule="auto"/>
        <w:rPr>
          <w:rFonts w:hint="default" w:eastAsia="宋体" w:cs="宋体"/>
          <w:color w:val="auto"/>
          <w:sz w:val="21"/>
          <w:szCs w:val="21"/>
        </w:rPr>
      </w:pPr>
      <w:r>
        <w:rPr>
          <w:rFonts w:hint="eastAsia" w:eastAsia="宋体" w:cs="宋体"/>
          <w:b/>
          <w:color w:val="auto"/>
          <w:kern w:val="2"/>
          <w:sz w:val="21"/>
          <w:szCs w:val="21"/>
          <w:lang w:eastAsia="zh-CN"/>
        </w:rPr>
        <w:t>七</w:t>
      </w:r>
      <w:r>
        <w:rPr>
          <w:rFonts w:eastAsia="宋体" w:cs="宋体"/>
          <w:b/>
          <w:color w:val="auto"/>
          <w:kern w:val="2"/>
          <w:sz w:val="21"/>
          <w:szCs w:val="21"/>
        </w:rPr>
        <w:t>、其他补充事宜</w:t>
      </w:r>
    </w:p>
    <w:bookmarkEnd w:id="25"/>
    <w:p w14:paraId="3F037CD9">
      <w:pPr>
        <w:spacing w:line="360" w:lineRule="auto"/>
        <w:ind w:firstLine="420" w:firstLineChars="200"/>
        <w:rPr>
          <w:rFonts w:hint="eastAsia" w:ascii="宋体" w:hAnsi="宋体" w:eastAsia="宋体" w:cs="宋体"/>
          <w:color w:val="auto"/>
          <w:sz w:val="21"/>
          <w:szCs w:val="21"/>
        </w:rPr>
      </w:pPr>
      <w:bookmarkStart w:id="26" w:name="_Toc306901436"/>
      <w:bookmarkStart w:id="27" w:name="_Toc173810692"/>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eastAsia="宋体" w:cs="宋体"/>
          <w:color w:val="auto"/>
          <w:sz w:val="21"/>
          <w:szCs w:val="21"/>
        </w:rPr>
        <w:t xml:space="preserve">      </w:t>
      </w:r>
    </w:p>
    <w:p w14:paraId="438E55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 xml:space="preserve">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r>
        <w:rPr>
          <w:rFonts w:hint="eastAsia" w:ascii="宋体" w:hAnsi="宋体" w:eastAsia="宋体" w:cs="宋体"/>
          <w:color w:val="auto"/>
          <w:sz w:val="21"/>
          <w:szCs w:val="21"/>
        </w:rPr>
        <w:t xml:space="preserve">  </w:t>
      </w:r>
    </w:p>
    <w:p w14:paraId="1500426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39293887">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 4.其他事项：无。</w:t>
      </w:r>
    </w:p>
    <w:p w14:paraId="2C418609">
      <w:pPr>
        <w:pStyle w:val="23"/>
        <w:widowControl w:val="0"/>
        <w:spacing w:beforeAutospacing="0" w:afterAutospacing="0" w:line="360" w:lineRule="auto"/>
        <w:ind w:left="426"/>
        <w:jc w:val="both"/>
        <w:rPr>
          <w:rFonts w:hint="default" w:eastAsia="宋体" w:cs="宋体"/>
          <w:b/>
          <w:color w:val="auto"/>
          <w:kern w:val="2"/>
          <w:sz w:val="21"/>
          <w:szCs w:val="21"/>
        </w:rPr>
      </w:pPr>
      <w:r>
        <w:rPr>
          <w:rFonts w:hint="eastAsia" w:eastAsia="宋体" w:cs="宋体"/>
          <w:b/>
          <w:color w:val="auto"/>
          <w:kern w:val="2"/>
          <w:sz w:val="21"/>
          <w:szCs w:val="21"/>
          <w:lang w:eastAsia="zh-CN"/>
        </w:rPr>
        <w:t>八</w:t>
      </w:r>
      <w:r>
        <w:rPr>
          <w:rFonts w:eastAsia="宋体" w:cs="宋体"/>
          <w:b/>
          <w:color w:val="auto"/>
          <w:kern w:val="2"/>
          <w:sz w:val="21"/>
          <w:szCs w:val="21"/>
        </w:rPr>
        <w:t>、</w:t>
      </w:r>
      <w:r>
        <w:rPr>
          <w:rFonts w:hint="eastAsia" w:eastAsia="宋体" w:cs="宋体"/>
          <w:b/>
          <w:color w:val="auto"/>
          <w:kern w:val="2"/>
          <w:sz w:val="21"/>
          <w:szCs w:val="21"/>
        </w:rPr>
        <w:t>凡对本次招标提出询问、质疑、投诉，请按以下方式联系</w:t>
      </w:r>
    </w:p>
    <w:p w14:paraId="1432F21B">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1.采购人信息      </w:t>
      </w:r>
    </w:p>
    <w:p w14:paraId="14C197FD">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台州市黄岩区人民政府北城街道办事处</w:t>
      </w:r>
      <w:r>
        <w:rPr>
          <w:rFonts w:hint="eastAsia" w:ascii="宋体" w:hAnsi="宋体" w:eastAsia="宋体" w:cs="宋体"/>
          <w:color w:val="auto"/>
          <w:sz w:val="21"/>
          <w:szCs w:val="21"/>
        </w:rPr>
        <w:t xml:space="preserve">       </w:t>
      </w:r>
    </w:p>
    <w:p w14:paraId="2DE57FF3">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黄岩区大桥路黄岩模具博览城18幢2楼</w:t>
      </w:r>
      <w:r>
        <w:rPr>
          <w:rFonts w:hint="eastAsia" w:ascii="宋体" w:hAnsi="宋体" w:eastAsia="宋体" w:cs="宋体"/>
          <w:color w:val="auto"/>
          <w:sz w:val="21"/>
          <w:szCs w:val="21"/>
        </w:rPr>
        <w:t xml:space="preserve">       </w:t>
      </w:r>
    </w:p>
    <w:p w14:paraId="26C0C96A">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真：/       </w:t>
      </w:r>
    </w:p>
    <w:p w14:paraId="0A4DB82A">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项目联系人（询问）：</w:t>
      </w:r>
      <w:r>
        <w:rPr>
          <w:rFonts w:hint="eastAsia" w:ascii="宋体" w:hAnsi="宋体" w:eastAsia="宋体" w:cs="宋体"/>
          <w:color w:val="auto"/>
          <w:sz w:val="21"/>
          <w:szCs w:val="21"/>
          <w:lang w:eastAsia="zh-CN"/>
        </w:rPr>
        <w:t>潘先生</w:t>
      </w:r>
      <w:r>
        <w:rPr>
          <w:rFonts w:hint="eastAsia" w:ascii="宋体" w:hAnsi="宋体" w:eastAsia="宋体" w:cs="宋体"/>
          <w:color w:val="auto"/>
          <w:sz w:val="21"/>
          <w:szCs w:val="21"/>
        </w:rPr>
        <w:t xml:space="preserve">       </w:t>
      </w:r>
    </w:p>
    <w:p w14:paraId="03744594">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项目联系方式（询问）：</w:t>
      </w:r>
      <w:r>
        <w:rPr>
          <w:rFonts w:hint="eastAsia" w:ascii="宋体" w:hAnsi="宋体" w:eastAsia="宋体" w:cs="宋体"/>
          <w:color w:val="auto"/>
          <w:sz w:val="21"/>
          <w:szCs w:val="21"/>
          <w:lang w:eastAsia="zh-CN"/>
        </w:rPr>
        <w:t>0576-89167006</w:t>
      </w:r>
      <w:r>
        <w:rPr>
          <w:rFonts w:hint="eastAsia" w:ascii="宋体" w:hAnsi="宋体" w:eastAsia="宋体" w:cs="宋体"/>
          <w:color w:val="auto"/>
          <w:sz w:val="21"/>
          <w:szCs w:val="21"/>
        </w:rPr>
        <w:t>       </w:t>
      </w:r>
    </w:p>
    <w:p w14:paraId="11D8B1FB">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质疑联系人：</w:t>
      </w:r>
      <w:r>
        <w:rPr>
          <w:rFonts w:hint="eastAsia" w:ascii="宋体" w:hAnsi="宋体" w:eastAsia="宋体" w:cs="宋体"/>
          <w:color w:val="auto"/>
          <w:sz w:val="21"/>
          <w:szCs w:val="21"/>
          <w:lang w:eastAsia="zh-CN"/>
        </w:rPr>
        <w:t>潘先生</w:t>
      </w:r>
      <w:r>
        <w:rPr>
          <w:rFonts w:hint="eastAsia" w:ascii="宋体" w:hAnsi="宋体" w:eastAsia="宋体" w:cs="宋体"/>
          <w:color w:val="auto"/>
          <w:sz w:val="21"/>
          <w:szCs w:val="21"/>
        </w:rPr>
        <w:t>      </w:t>
      </w:r>
    </w:p>
    <w:p w14:paraId="4A7F72ED">
      <w:p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质疑联系方式：</w:t>
      </w:r>
      <w:r>
        <w:rPr>
          <w:rFonts w:hint="eastAsia" w:ascii="宋体" w:hAnsi="宋体" w:eastAsia="宋体" w:cs="宋体"/>
          <w:color w:val="auto"/>
          <w:sz w:val="21"/>
          <w:szCs w:val="21"/>
          <w:lang w:eastAsia="zh-CN"/>
        </w:rPr>
        <w:t>0576-89167006</w:t>
      </w:r>
      <w:r>
        <w:rPr>
          <w:rFonts w:hint="eastAsia" w:ascii="宋体" w:hAnsi="宋体" w:eastAsia="宋体" w:cs="宋体"/>
          <w:color w:val="auto"/>
          <w:sz w:val="21"/>
          <w:szCs w:val="21"/>
        </w:rPr>
        <w:t xml:space="preserve">     </w:t>
      </w:r>
    </w:p>
    <w:p w14:paraId="0DECBD45">
      <w:pPr>
        <w:numPr>
          <w:ilvl w:val="0"/>
          <w:numId w:val="2"/>
        </w:numPr>
        <w:spacing w:line="360" w:lineRule="auto"/>
        <w:ind w:right="48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采购代理机构信息      </w:t>
      </w:r>
    </w:p>
    <w:p w14:paraId="63859C4F">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浙江中衡信工程咨询有限公司</w:t>
      </w:r>
      <w:r>
        <w:rPr>
          <w:rFonts w:hint="eastAsia" w:ascii="宋体" w:hAnsi="宋体" w:eastAsia="宋体" w:cs="宋体"/>
          <w:color w:val="auto"/>
          <w:sz w:val="21"/>
          <w:szCs w:val="21"/>
        </w:rPr>
        <w:t xml:space="preserve">       </w:t>
      </w:r>
    </w:p>
    <w:p w14:paraId="5864550A">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北城街道拱新大道江山一品1—39二楼</w:t>
      </w:r>
      <w:r>
        <w:rPr>
          <w:rFonts w:hint="eastAsia" w:ascii="宋体" w:hAnsi="宋体" w:eastAsia="宋体" w:cs="宋体"/>
          <w:color w:val="auto"/>
          <w:sz w:val="21"/>
          <w:szCs w:val="21"/>
        </w:rPr>
        <w:t xml:space="preserve">       </w:t>
      </w:r>
    </w:p>
    <w:p w14:paraId="5AA07FBC">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真：/        </w:t>
      </w:r>
    </w:p>
    <w:p w14:paraId="1DE63426">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项目联系人（询问）：</w:t>
      </w:r>
      <w:r>
        <w:rPr>
          <w:rFonts w:hint="eastAsia" w:ascii="宋体" w:hAnsi="宋体" w:eastAsia="宋体" w:cs="宋体"/>
          <w:color w:val="auto"/>
          <w:sz w:val="21"/>
          <w:szCs w:val="21"/>
          <w:lang w:eastAsia="zh-CN"/>
        </w:rPr>
        <w:t>王女士</w:t>
      </w:r>
      <w:r>
        <w:rPr>
          <w:rFonts w:hint="eastAsia" w:ascii="宋体" w:hAnsi="宋体" w:eastAsia="宋体" w:cs="宋体"/>
          <w:color w:val="auto"/>
          <w:sz w:val="21"/>
          <w:szCs w:val="21"/>
        </w:rPr>
        <w:t xml:space="preserve">       </w:t>
      </w:r>
    </w:p>
    <w:p w14:paraId="57B7F2A5">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项目联系方式（询问）：</w:t>
      </w:r>
      <w:r>
        <w:rPr>
          <w:rFonts w:hint="eastAsia" w:ascii="宋体" w:hAnsi="宋体" w:eastAsia="宋体" w:cs="宋体"/>
          <w:color w:val="auto"/>
          <w:sz w:val="21"/>
          <w:szCs w:val="21"/>
          <w:lang w:eastAsia="zh-CN"/>
        </w:rPr>
        <w:t>0576-84025566</w:t>
      </w:r>
      <w:r>
        <w:rPr>
          <w:rFonts w:hint="eastAsia" w:ascii="宋体" w:hAnsi="宋体" w:eastAsia="宋体" w:cs="宋体"/>
          <w:color w:val="auto"/>
          <w:sz w:val="21"/>
          <w:szCs w:val="21"/>
        </w:rPr>
        <w:t xml:space="preserve">       </w:t>
      </w:r>
    </w:p>
    <w:p w14:paraId="5C0F99BE">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质疑联系人：王</w:t>
      </w:r>
      <w:r>
        <w:rPr>
          <w:rFonts w:hint="eastAsia" w:ascii="宋体" w:hAnsi="宋体" w:eastAsia="宋体" w:cs="宋体"/>
          <w:color w:val="auto"/>
          <w:sz w:val="21"/>
          <w:szCs w:val="21"/>
          <w:lang w:eastAsia="zh-CN"/>
        </w:rPr>
        <w:t>凤香</w:t>
      </w:r>
      <w:r>
        <w:rPr>
          <w:rFonts w:hint="eastAsia" w:ascii="宋体" w:hAnsi="宋体" w:eastAsia="宋体" w:cs="宋体"/>
          <w:color w:val="auto"/>
          <w:sz w:val="21"/>
          <w:szCs w:val="21"/>
        </w:rPr>
        <w:t xml:space="preserve">       </w:t>
      </w:r>
    </w:p>
    <w:p w14:paraId="11A5C4D3">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质疑联系方式：</w:t>
      </w:r>
      <w:r>
        <w:rPr>
          <w:rFonts w:hint="eastAsia" w:ascii="宋体" w:hAnsi="宋体" w:eastAsia="宋体" w:cs="宋体"/>
          <w:color w:val="auto"/>
          <w:sz w:val="21"/>
          <w:szCs w:val="21"/>
          <w:lang w:eastAsia="zh-CN"/>
        </w:rPr>
        <w:t>0576-84025566</w:t>
      </w:r>
      <w:r>
        <w:rPr>
          <w:rFonts w:hint="eastAsia" w:ascii="宋体" w:hAnsi="宋体" w:eastAsia="宋体" w:cs="宋体"/>
          <w:color w:val="auto"/>
          <w:sz w:val="21"/>
          <w:szCs w:val="21"/>
        </w:rPr>
        <w:t xml:space="preserve">           </w:t>
      </w:r>
    </w:p>
    <w:p w14:paraId="768EB2AB">
      <w:pPr>
        <w:numPr>
          <w:ilvl w:val="0"/>
          <w:numId w:val="2"/>
        </w:numPr>
        <w:spacing w:line="360" w:lineRule="auto"/>
        <w:ind w:left="0" w:leftChars="0"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同级政府采购监督管理部门      </w:t>
      </w:r>
    </w:p>
    <w:p w14:paraId="51B3EE37">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名    称：台州市黄岩区财政局政府采购监管科       </w:t>
      </w:r>
    </w:p>
    <w:p w14:paraId="0E7E3F07">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址：台州市黄岩区劳动南路289号       </w:t>
      </w:r>
    </w:p>
    <w:p w14:paraId="5AFAE3E7">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真：/       </w:t>
      </w:r>
    </w:p>
    <w:p w14:paraId="1923DB07">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：宋先生       </w:t>
      </w:r>
    </w:p>
    <w:p w14:paraId="18CBA7F1">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监督投诉电话：0576-84222959               </w:t>
      </w:r>
    </w:p>
    <w:p w14:paraId="4F0CCE0B">
      <w:pPr>
        <w:numPr>
          <w:ilvl w:val="0"/>
          <w:numId w:val="0"/>
        </w:numPr>
        <w:spacing w:line="360" w:lineRule="auto"/>
        <w:ind w:right="480" w:rightChars="0" w:firstLine="420" w:firstLineChars="200"/>
        <w:jc w:val="both"/>
        <w:rPr>
          <w:rFonts w:hint="eastAsia" w:ascii="宋体" w:hAnsi="宋体" w:eastAsia="宋体" w:cs="宋体"/>
          <w:color w:val="auto"/>
          <w:sz w:val="21"/>
          <w:szCs w:val="21"/>
        </w:rPr>
      </w:pPr>
    </w:p>
    <w:p w14:paraId="1B91D779">
      <w:pPr>
        <w:numPr>
          <w:ilvl w:val="0"/>
          <w:numId w:val="0"/>
        </w:numPr>
        <w:spacing w:line="360" w:lineRule="auto"/>
        <w:ind w:right="48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若对项目采购电子交易系统操作有疑问，可登录政采云（https://www.zcygov.cn/），点击右侧咨询小采，获取采小蜜智能服务管家帮助，或拨打政采云服务热线95763获取热线服务帮助。         </w:t>
      </w:r>
    </w:p>
    <w:p w14:paraId="041255FE">
      <w:pPr>
        <w:numPr>
          <w:ilvl w:val="0"/>
          <w:numId w:val="0"/>
        </w:numPr>
        <w:spacing w:line="360" w:lineRule="auto"/>
        <w:ind w:right="480" w:rightChars="0"/>
        <w:jc w:val="both"/>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 xml:space="preserve"> CA问题联系电话（人工）：汇信CA 400-888-4636；天谷CA 400-087-8198。</w:t>
      </w:r>
    </w:p>
    <w:p w14:paraId="12B7F379">
      <w:pPr>
        <w:widowControl/>
        <w:spacing w:before="60" w:after="60" w:line="360" w:lineRule="exact"/>
        <w:ind w:left="60" w:right="60" w:firstLine="54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                                          </w:t>
      </w:r>
    </w:p>
    <w:p w14:paraId="79ABB9D5">
      <w:pPr>
        <w:autoSpaceDE w:val="0"/>
        <w:autoSpaceDN w:val="0"/>
        <w:adjustRightInd w:val="0"/>
        <w:spacing w:line="360" w:lineRule="auto"/>
        <w:jc w:val="center"/>
        <w:outlineLvl w:val="0"/>
        <w:rPr>
          <w:rFonts w:hint="eastAsia"/>
          <w:b/>
          <w:color w:val="auto"/>
          <w:sz w:val="32"/>
          <w:szCs w:val="32"/>
        </w:rPr>
      </w:pPr>
    </w:p>
    <w:p w14:paraId="7F5CF231">
      <w:pPr>
        <w:autoSpaceDE w:val="0"/>
        <w:autoSpaceDN w:val="0"/>
        <w:adjustRightInd w:val="0"/>
        <w:spacing w:line="360" w:lineRule="auto"/>
        <w:jc w:val="center"/>
        <w:outlineLvl w:val="0"/>
        <w:rPr>
          <w:rFonts w:hint="eastAsia"/>
          <w:b/>
          <w:color w:val="auto"/>
          <w:sz w:val="32"/>
          <w:szCs w:val="32"/>
        </w:rPr>
      </w:pPr>
    </w:p>
    <w:p w14:paraId="45D5DD26">
      <w:pPr>
        <w:autoSpaceDE w:val="0"/>
        <w:autoSpaceDN w:val="0"/>
        <w:adjustRightInd w:val="0"/>
        <w:spacing w:line="360" w:lineRule="auto"/>
        <w:jc w:val="center"/>
        <w:outlineLvl w:val="0"/>
        <w:rPr>
          <w:b/>
          <w:color w:val="auto"/>
          <w:sz w:val="32"/>
          <w:szCs w:val="32"/>
        </w:rPr>
      </w:pPr>
      <w:r>
        <w:rPr>
          <w:rFonts w:hint="eastAsia"/>
          <w:b/>
          <w:color w:val="auto"/>
          <w:sz w:val="32"/>
          <w:szCs w:val="32"/>
        </w:rPr>
        <w:t>第二部分</w:t>
      </w:r>
      <w:r>
        <w:rPr>
          <w:rFonts w:hint="eastAsia" w:eastAsia="宋体"/>
          <w:b/>
          <w:color w:val="auto"/>
          <w:sz w:val="32"/>
          <w:szCs w:val="32"/>
          <w:lang w:val="en-US" w:eastAsia="zh-CN"/>
        </w:rPr>
        <w:t xml:space="preserve"> </w:t>
      </w:r>
      <w:r>
        <w:rPr>
          <w:rFonts w:hint="eastAsia"/>
          <w:b/>
          <w:color w:val="auto"/>
          <w:sz w:val="32"/>
          <w:szCs w:val="32"/>
        </w:rPr>
        <w:t>采购需求</w:t>
      </w:r>
      <w:bookmarkEnd w:id="26"/>
    </w:p>
    <w:p w14:paraId="65C61438">
      <w:pPr>
        <w:pStyle w:val="2"/>
        <w:snapToGrid w:val="0"/>
        <w:spacing w:line="400" w:lineRule="exact"/>
        <w:rPr>
          <w:rFonts w:hint="eastAsia" w:ascii="宋体" w:hAnsi="宋体" w:eastAsia="宋体" w:cs="宋体"/>
          <w:bCs/>
          <w:color w:val="auto"/>
          <w:szCs w:val="21"/>
          <w:lang w:eastAsia="zh-CN"/>
        </w:rPr>
      </w:pPr>
      <w:bookmarkStart w:id="28" w:name="_Toc306901444"/>
      <w:r>
        <w:rPr>
          <w:rFonts w:hint="eastAsia" w:ascii="宋体" w:hAnsi="宋体" w:eastAsia="宋体" w:cs="宋体"/>
          <w:bCs/>
          <w:color w:val="auto"/>
          <w:szCs w:val="21"/>
        </w:rPr>
        <w:t>一、采购项目：</w:t>
      </w:r>
      <w:r>
        <w:rPr>
          <w:rFonts w:hint="eastAsia" w:ascii="宋体" w:hAnsi="宋体" w:eastAsia="宋体" w:cs="宋体"/>
          <w:bCs/>
          <w:color w:val="auto"/>
          <w:szCs w:val="21"/>
          <w:lang w:eastAsia="zh-CN"/>
        </w:rPr>
        <w:t>北城办事处改造工程</w:t>
      </w:r>
    </w:p>
    <w:p w14:paraId="36CB8AEC">
      <w:pPr>
        <w:snapToGrid w:val="0"/>
        <w:spacing w:line="4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二、采购概况、范围及要求：</w:t>
      </w:r>
      <w:bookmarkStart w:id="29" w:name="OLE_LINK4"/>
    </w:p>
    <w:p w14:paraId="0B210AC2">
      <w:pPr>
        <w:snapToGrid w:val="0"/>
        <w:spacing w:line="400" w:lineRule="exact"/>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w:t>
      </w:r>
      <w:bookmarkEnd w:id="29"/>
      <w:r>
        <w:rPr>
          <w:rFonts w:hint="eastAsia" w:ascii="宋体" w:hAnsi="宋体" w:eastAsia="宋体" w:cs="宋体"/>
          <w:color w:val="auto"/>
          <w:kern w:val="0"/>
          <w:sz w:val="21"/>
          <w:szCs w:val="21"/>
        </w:rPr>
        <w:t>采购预算：</w:t>
      </w:r>
      <w:r>
        <w:rPr>
          <w:rFonts w:hint="eastAsia" w:ascii="宋体" w:hAnsi="宋体" w:eastAsia="宋体" w:cs="宋体"/>
          <w:color w:val="auto"/>
          <w:kern w:val="0"/>
          <w:sz w:val="21"/>
          <w:szCs w:val="21"/>
          <w:lang w:eastAsia="zh-CN"/>
        </w:rPr>
        <w:t>1406890</w:t>
      </w:r>
      <w:r>
        <w:rPr>
          <w:rFonts w:hint="eastAsia" w:ascii="宋体" w:hAnsi="宋体" w:eastAsia="宋体" w:cs="宋体"/>
          <w:color w:val="auto"/>
          <w:kern w:val="0"/>
          <w:sz w:val="21"/>
          <w:szCs w:val="21"/>
        </w:rPr>
        <w:t>元</w:t>
      </w:r>
    </w:p>
    <w:p w14:paraId="1C8B29AA">
      <w:pPr>
        <w:pStyle w:val="3"/>
        <w:ind w:firstLineChars="200"/>
        <w:rPr>
          <w:rFonts w:eastAsia="宋体"/>
          <w:color w:val="auto"/>
        </w:rPr>
      </w:pPr>
      <w:r>
        <w:rPr>
          <w:rFonts w:hint="eastAsia" w:ascii="宋体" w:hAnsi="宋体" w:eastAsia="宋体" w:cs="宋体"/>
          <w:color w:val="auto"/>
          <w:kern w:val="0"/>
          <w:szCs w:val="21"/>
        </w:rPr>
        <w:t>2、最高限价：</w:t>
      </w:r>
      <w:r>
        <w:rPr>
          <w:rFonts w:hint="eastAsia" w:ascii="宋体" w:hAnsi="宋体" w:eastAsia="宋体" w:cs="宋体"/>
          <w:color w:val="auto"/>
          <w:kern w:val="0"/>
          <w:szCs w:val="21"/>
          <w:lang w:eastAsia="zh-CN"/>
        </w:rPr>
        <w:t>1223994</w:t>
      </w:r>
      <w:r>
        <w:rPr>
          <w:rFonts w:hint="eastAsia" w:ascii="宋体" w:hAnsi="宋体" w:eastAsia="宋体" w:cs="宋体"/>
          <w:color w:val="auto"/>
          <w:kern w:val="0"/>
          <w:szCs w:val="21"/>
        </w:rPr>
        <w:t>元</w:t>
      </w:r>
    </w:p>
    <w:p w14:paraId="3079FB95">
      <w:pPr>
        <w:pStyle w:val="47"/>
        <w:snapToGrid w:val="0"/>
        <w:spacing w:before="0" w:beforeAutospacing="0" w:after="0" w:afterAutospacing="0" w:line="400" w:lineRule="exact"/>
        <w:ind w:firstLine="420" w:firstLineChars="200"/>
        <w:rPr>
          <w:rFonts w:eastAsia="宋体"/>
          <w:color w:val="auto"/>
          <w:sz w:val="21"/>
          <w:szCs w:val="21"/>
        </w:rPr>
      </w:pPr>
      <w:r>
        <w:rPr>
          <w:rFonts w:hint="eastAsia" w:eastAsia="宋体"/>
          <w:color w:val="auto"/>
          <w:sz w:val="21"/>
          <w:szCs w:val="21"/>
        </w:rPr>
        <w:t>▲3、采购工期：</w:t>
      </w:r>
      <w:r>
        <w:rPr>
          <w:rFonts w:hint="eastAsia" w:eastAsia="宋体"/>
          <w:color w:val="auto"/>
          <w:sz w:val="21"/>
          <w:szCs w:val="21"/>
          <w:lang w:eastAsia="zh-CN"/>
        </w:rPr>
        <w:t>不超过60日历天</w:t>
      </w:r>
      <w:r>
        <w:rPr>
          <w:rFonts w:hint="eastAsia" w:eastAsia="宋体"/>
          <w:color w:val="auto"/>
          <w:sz w:val="21"/>
          <w:szCs w:val="21"/>
        </w:rPr>
        <w:t>。</w:t>
      </w:r>
    </w:p>
    <w:p w14:paraId="7C02DE2D">
      <w:pPr>
        <w:pStyle w:val="47"/>
        <w:snapToGrid w:val="0"/>
        <w:spacing w:before="0" w:beforeAutospacing="0" w:after="0" w:afterAutospacing="0" w:line="400" w:lineRule="exact"/>
        <w:ind w:firstLine="420" w:firstLineChars="200"/>
        <w:rPr>
          <w:rFonts w:eastAsia="宋体"/>
          <w:color w:val="auto"/>
          <w:sz w:val="21"/>
          <w:szCs w:val="21"/>
        </w:rPr>
      </w:pPr>
      <w:r>
        <w:rPr>
          <w:rFonts w:hint="eastAsia" w:eastAsia="宋体"/>
          <w:color w:val="auto"/>
          <w:sz w:val="21"/>
          <w:szCs w:val="21"/>
        </w:rPr>
        <w:t>▲4、质量要求：本工程施工严格按照规范要求进行施工，达到各项拟定的设计指标，确保工程质量达到国家合格验收标准。</w:t>
      </w:r>
    </w:p>
    <w:p w14:paraId="335E7FA9">
      <w:pPr>
        <w:snapToGrid w:val="0"/>
        <w:spacing w:line="400" w:lineRule="exact"/>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5、建设地点：</w:t>
      </w:r>
      <w:r>
        <w:rPr>
          <w:rFonts w:hint="eastAsia" w:ascii="宋体" w:hAnsi="宋体" w:eastAsia="宋体" w:cs="宋体"/>
          <w:color w:val="auto"/>
          <w:kern w:val="0"/>
          <w:sz w:val="21"/>
          <w:szCs w:val="21"/>
          <w:lang w:eastAsia="zh-CN"/>
        </w:rPr>
        <w:t>黄岩区北城街道。</w:t>
      </w:r>
    </w:p>
    <w:p w14:paraId="02A206CC">
      <w:pPr>
        <w:pStyle w:val="47"/>
        <w:snapToGrid w:val="0"/>
        <w:spacing w:before="0" w:beforeAutospacing="0" w:after="0" w:afterAutospacing="0" w:line="400" w:lineRule="exact"/>
        <w:ind w:firstLine="420" w:firstLineChars="200"/>
        <w:rPr>
          <w:rFonts w:hint="eastAsia" w:eastAsia="宋体"/>
          <w:color w:val="auto"/>
          <w:sz w:val="21"/>
          <w:szCs w:val="21"/>
          <w:lang w:eastAsia="zh-CN"/>
        </w:rPr>
      </w:pPr>
      <w:r>
        <w:rPr>
          <w:rFonts w:hint="eastAsia" w:eastAsia="宋体"/>
          <w:color w:val="auto"/>
          <w:sz w:val="21"/>
          <w:szCs w:val="21"/>
        </w:rPr>
        <w:t>6、</w:t>
      </w:r>
      <w:r>
        <w:rPr>
          <w:rFonts w:hint="eastAsia" w:eastAsia="宋体"/>
          <w:color w:val="auto"/>
          <w:sz w:val="21"/>
          <w:szCs w:val="21"/>
          <w:lang w:eastAsia="zh-CN"/>
        </w:rPr>
        <w:t>工程规模：所有外墙防水和漆面重做，室内漆面重做，做设部分隔墙，控制每个办公室面积达到合理范围，部分损坏主材修补整改。大型会议室内部吊顶新增软膜灯箱提高空间照度。食堂整体漆面重做部分吊顶整改。</w:t>
      </w:r>
    </w:p>
    <w:p w14:paraId="12077A0A">
      <w:pPr>
        <w:pStyle w:val="47"/>
        <w:snapToGrid w:val="0"/>
        <w:spacing w:before="0" w:beforeAutospacing="0" w:after="0" w:afterAutospacing="0" w:line="400" w:lineRule="exact"/>
        <w:ind w:firstLine="420" w:firstLineChars="200"/>
        <w:rPr>
          <w:rFonts w:eastAsia="宋体"/>
          <w:color w:val="auto"/>
          <w:sz w:val="21"/>
          <w:szCs w:val="21"/>
        </w:rPr>
      </w:pPr>
      <w:r>
        <w:rPr>
          <w:rFonts w:hint="eastAsia" w:eastAsia="宋体"/>
          <w:color w:val="auto"/>
          <w:sz w:val="21"/>
          <w:szCs w:val="21"/>
          <w:lang w:val="en-US" w:eastAsia="zh-CN"/>
        </w:rPr>
        <w:t>7、</w:t>
      </w:r>
      <w:r>
        <w:rPr>
          <w:rFonts w:hint="eastAsia" w:eastAsia="宋体"/>
          <w:color w:val="auto"/>
          <w:sz w:val="21"/>
          <w:szCs w:val="21"/>
        </w:rPr>
        <w:t>采购范围：</w:t>
      </w:r>
      <w:r>
        <w:rPr>
          <w:rFonts w:hint="eastAsia" w:eastAsia="宋体"/>
          <w:color w:val="auto"/>
          <w:sz w:val="21"/>
          <w:szCs w:val="21"/>
          <w:lang w:eastAsia="zh-CN"/>
        </w:rPr>
        <w:t>采购人提供的施工图及预算书所包含的相应的工程。</w:t>
      </w:r>
      <w:r>
        <w:rPr>
          <w:rFonts w:hint="eastAsia" w:eastAsia="宋体"/>
          <w:color w:val="auto"/>
          <w:sz w:val="21"/>
          <w:szCs w:val="21"/>
        </w:rPr>
        <w:t>具体详见采购清单。</w:t>
      </w:r>
    </w:p>
    <w:p w14:paraId="418B02BB">
      <w:pPr>
        <w:pStyle w:val="19"/>
        <w:ind w:left="0" w:firstLine="420" w:firstLineChars="200"/>
        <w:rPr>
          <w:rFonts w:ascii="宋体" w:hAnsi="宋体" w:eastAsia="宋体" w:cs="宋体"/>
          <w:b/>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b/>
          <w:color w:val="auto"/>
          <w:sz w:val="21"/>
          <w:szCs w:val="21"/>
        </w:rPr>
        <w:t>、采购清单</w:t>
      </w:r>
    </w:p>
    <w:tbl>
      <w:tblPr>
        <w:tblStyle w:val="26"/>
        <w:tblW w:w="86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330"/>
        <w:gridCol w:w="2442"/>
        <w:gridCol w:w="2600"/>
        <w:gridCol w:w="750"/>
        <w:gridCol w:w="1063"/>
      </w:tblGrid>
      <w:tr w14:paraId="6E89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8680" w:type="dxa"/>
            <w:gridSpan w:val="6"/>
            <w:tcBorders>
              <w:top w:val="nil"/>
              <w:left w:val="nil"/>
              <w:bottom w:val="nil"/>
              <w:right w:val="nil"/>
            </w:tcBorders>
            <w:shd w:val="clear" w:color="auto" w:fill="FFFFFF"/>
            <w:vAlign w:val="bottom"/>
          </w:tcPr>
          <w:p w14:paraId="149AF6D6">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单位工程（专业）：北城办事处改造工程-房屋建筑与装饰</w:t>
            </w:r>
          </w:p>
        </w:tc>
      </w:tr>
      <w:tr w14:paraId="71C1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9A0F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EFC3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9C8D3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E558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C0FD72">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29A4E8A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D240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r>
      <w:tr w14:paraId="7902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72628">
            <w:pPr>
              <w:jc w:val="center"/>
              <w:rPr>
                <w:rFonts w:hint="eastAsia" w:ascii="宋体" w:hAnsi="宋体" w:eastAsia="宋体" w:cs="宋体"/>
                <w:b/>
                <w:bCs/>
                <w:i w:val="0"/>
                <w:iCs w:val="0"/>
                <w:color w:val="auto"/>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A98B0">
            <w:pPr>
              <w:jc w:val="center"/>
              <w:rPr>
                <w:rFonts w:hint="eastAsia" w:ascii="宋体" w:hAnsi="宋体" w:eastAsia="宋体" w:cs="宋体"/>
                <w:b/>
                <w:bCs/>
                <w:i w:val="0"/>
                <w:iCs w:val="0"/>
                <w:color w:val="auto"/>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03866">
            <w:pPr>
              <w:jc w:val="center"/>
              <w:rPr>
                <w:rFonts w:hint="eastAsia" w:ascii="宋体" w:hAnsi="宋体" w:eastAsia="宋体" w:cs="宋体"/>
                <w:b/>
                <w:bCs/>
                <w:i w:val="0"/>
                <w:iCs w:val="0"/>
                <w:color w:val="auto"/>
                <w:sz w:val="18"/>
                <w:szCs w:val="18"/>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0DBFE">
            <w:pPr>
              <w:jc w:val="center"/>
              <w:rPr>
                <w:rFonts w:hint="eastAsia" w:ascii="宋体" w:hAnsi="宋体" w:eastAsia="宋体" w:cs="宋体"/>
                <w:b/>
                <w:bCs/>
                <w:i w:val="0"/>
                <w:iCs w:val="0"/>
                <w:color w:val="auto"/>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31009">
            <w:pPr>
              <w:jc w:val="center"/>
              <w:rPr>
                <w:rFonts w:hint="eastAsia" w:ascii="宋体" w:hAnsi="宋体" w:eastAsia="宋体" w:cs="宋体"/>
                <w:b/>
                <w:bCs/>
                <w:i w:val="0"/>
                <w:iCs w:val="0"/>
                <w:color w:val="auto"/>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D3AE7">
            <w:pPr>
              <w:jc w:val="center"/>
              <w:rPr>
                <w:rFonts w:hint="eastAsia" w:ascii="宋体" w:hAnsi="宋体" w:eastAsia="宋体" w:cs="宋体"/>
                <w:b/>
                <w:bCs/>
                <w:i w:val="0"/>
                <w:iCs w:val="0"/>
                <w:color w:val="auto"/>
                <w:sz w:val="18"/>
                <w:szCs w:val="18"/>
                <w:u w:val="none"/>
              </w:rPr>
            </w:pPr>
          </w:p>
        </w:tc>
      </w:tr>
      <w:tr w14:paraId="0E22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B1B01">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2407">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0C5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砌筑工程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6BF5">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311D">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CCC2">
            <w:pPr>
              <w:jc w:val="right"/>
              <w:rPr>
                <w:rFonts w:hint="eastAsia" w:ascii="宋体" w:hAnsi="宋体" w:eastAsia="宋体" w:cs="宋体"/>
                <w:i w:val="0"/>
                <w:iCs w:val="0"/>
                <w:color w:val="auto"/>
                <w:sz w:val="18"/>
                <w:szCs w:val="18"/>
                <w:u w:val="none"/>
              </w:rPr>
            </w:pPr>
          </w:p>
        </w:tc>
      </w:tr>
      <w:tr w14:paraId="4679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C4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89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010402001001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935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砌块墙</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CB6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1、砌块品种、规格、强度等级：B06(A3.5)蒸压砂加气砼砌块；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2、墙体类型：150厚以内；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3、砂浆强度等级：M7.5专用砂浆砌筑，采用预拌砂浆；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4、含墙底导墙和墙顶与梁、板处理斜砌法补砌工艺、柔性打胶嵌缝详见图纸设计；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5、商品砂浆运距包干。</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4DC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4CF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5.44</w:t>
            </w:r>
          </w:p>
        </w:tc>
      </w:tr>
      <w:tr w14:paraId="71F9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7640">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E980">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D4F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DA76">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816F">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70D4D">
            <w:pPr>
              <w:jc w:val="right"/>
              <w:rPr>
                <w:rFonts w:hint="eastAsia" w:ascii="宋体" w:hAnsi="宋体" w:eastAsia="宋体" w:cs="宋体"/>
                <w:i w:val="0"/>
                <w:iCs w:val="0"/>
                <w:color w:val="auto"/>
                <w:sz w:val="18"/>
                <w:szCs w:val="18"/>
                <w:u w:val="none"/>
              </w:rPr>
            </w:pPr>
          </w:p>
        </w:tc>
      </w:tr>
      <w:tr w14:paraId="672F6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98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E2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010805005005</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2B8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44F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1.门代号及洞口尺寸:920mm*2100mm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AE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A31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14:paraId="79F7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FB0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1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010805005006</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C07E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4B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1.门代号及洞口尺寸:1020mm*2100mm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ED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EB0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A8A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46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A9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010805005007</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335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F5C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1.门代号及洞口尺寸:1600mm*2100mm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E03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A808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2F4E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E0E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DC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010801002001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2AC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木质门带套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A3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1.门代号及洞口尺寸:成品实木门，尺寸：800mm*2100mm（含门套、单开执手锁、合页）</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07A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61D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25D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0900">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4A334">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75D1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墙、柱面装饰与隔断、幕墙工程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5F66">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0656">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C7357">
            <w:pPr>
              <w:jc w:val="right"/>
              <w:rPr>
                <w:rFonts w:hint="eastAsia" w:ascii="宋体" w:hAnsi="宋体" w:eastAsia="宋体" w:cs="宋体"/>
                <w:i w:val="0"/>
                <w:iCs w:val="0"/>
                <w:color w:val="auto"/>
                <w:sz w:val="18"/>
                <w:szCs w:val="18"/>
                <w:u w:val="none"/>
              </w:rPr>
            </w:pPr>
          </w:p>
        </w:tc>
      </w:tr>
      <w:tr w14:paraId="7523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82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A3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011210003001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FA75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玻璃隔断</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E2E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黑色窄边不锈钢钢化玻璃隔断定制：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1、边框材料种类、规格：不锈钢壁厚1.2mm；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2、玻璃品种、规格、颜色：10mm钢化玻璃；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3、详见图纸。</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DE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F65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1254.14</w:t>
            </w:r>
          </w:p>
        </w:tc>
      </w:tr>
      <w:tr w14:paraId="2E7A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AE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4C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39BF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墙面一般抹灰</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54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1、20厚1:3水泥砂浆分遍抹平压光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2、砖墙或砼墙基层处理。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3、商品砂浆运距包干。</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D6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BADC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90.64</w:t>
            </w:r>
          </w:p>
        </w:tc>
      </w:tr>
      <w:tr w14:paraId="6CDD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1F5E">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4BBA5">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F50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A43CF">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30C3">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C5AE">
            <w:pPr>
              <w:jc w:val="right"/>
              <w:rPr>
                <w:rFonts w:hint="eastAsia" w:ascii="宋体" w:hAnsi="宋体" w:eastAsia="宋体" w:cs="宋体"/>
                <w:i w:val="0"/>
                <w:iCs w:val="0"/>
                <w:color w:val="auto"/>
                <w:sz w:val="18"/>
                <w:szCs w:val="18"/>
                <w:u w:val="none"/>
              </w:rPr>
            </w:pPr>
          </w:p>
        </w:tc>
      </w:tr>
      <w:tr w14:paraId="7CB07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CD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2FB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011302002001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525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格栅吊顶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C4E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铝方通吊顶：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1、钢筋混凝土板底面清理干净；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2、板底钻孔，固定镀锌膨胀螺栓，双向中距≤1200；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3、直径8钢筋吊杆，双向中距≤1200.吊杆上部与板底预留吊环（钩）固定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4、铝方通专用龙骨与固定副龙固定间距控制在900-1200 边距300以内配件的组件构造都具备现场使用的可施工性及可拆卸、调整性；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5、方型40*100*0.8mm白色铝方通@100mm(铝方通与铝方通之间净间距60mm）吊顶。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具体做法详见施工图</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4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A18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32.16</w:t>
            </w:r>
          </w:p>
        </w:tc>
      </w:tr>
      <w:tr w14:paraId="4F1A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E0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A2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63C8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81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天棚面层 软膜吊顶 矩形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B9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3B2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100.06</w:t>
            </w:r>
          </w:p>
        </w:tc>
      </w:tr>
      <w:tr w14:paraId="1122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94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AE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011302001002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FEC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EA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石膏板吊顶（平面）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1、φ8钢筋吊杆用膨胀螺栓与顶板固定，双向中距≤900mm；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2、U50轻钢龙骨基层（主龙骨中距≤900mm，次龙骨中距≤300mm，横撑龙骨中距≤600mm）；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3、9.5mm厚纸面石膏板，自攻螺丝固定于龙骨；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4、板缝贴胶带、点锈；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5、包括顶面灯具、风口等设备处开孔、加固。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D1F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FBAA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54.5</w:t>
            </w:r>
          </w:p>
        </w:tc>
      </w:tr>
      <w:tr w14:paraId="4062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8C82">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B21AF">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050B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3CC4">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1193">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823E0">
            <w:pPr>
              <w:jc w:val="right"/>
              <w:rPr>
                <w:rFonts w:hint="eastAsia" w:ascii="宋体" w:hAnsi="宋体" w:eastAsia="宋体" w:cs="宋体"/>
                <w:i w:val="0"/>
                <w:iCs w:val="0"/>
                <w:color w:val="auto"/>
                <w:sz w:val="18"/>
                <w:szCs w:val="18"/>
                <w:u w:val="none"/>
              </w:rPr>
            </w:pPr>
          </w:p>
        </w:tc>
      </w:tr>
      <w:tr w14:paraId="3831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74F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A3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010903002001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46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墙面涂膜防水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AD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1、聚合物水泥防水涂料 厚度1.2mm 立面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0E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D84E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3829.57</w:t>
            </w:r>
          </w:p>
        </w:tc>
      </w:tr>
      <w:tr w14:paraId="0EC3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DC86">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9288">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E85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油漆、涂料、裱糊工程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273A">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62E1">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CC852">
            <w:pPr>
              <w:jc w:val="right"/>
              <w:rPr>
                <w:rFonts w:hint="eastAsia" w:ascii="宋体" w:hAnsi="宋体" w:eastAsia="宋体" w:cs="宋体"/>
                <w:i w:val="0"/>
                <w:iCs w:val="0"/>
                <w:color w:val="auto"/>
                <w:sz w:val="18"/>
                <w:szCs w:val="18"/>
                <w:u w:val="none"/>
              </w:rPr>
            </w:pPr>
          </w:p>
        </w:tc>
      </w:tr>
      <w:tr w14:paraId="7398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17C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54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D1B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540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1、乳胶漆墙、柱、天棚面三遍（含腻子基层，工料机）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1F1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9172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7038.16</w:t>
            </w:r>
          </w:p>
        </w:tc>
      </w:tr>
      <w:tr w14:paraId="1F02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57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2C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011407001002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577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19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1、外墙涂料弹性涂料含腻子基层，工料机）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C4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9A0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3829.57</w:t>
            </w:r>
          </w:p>
        </w:tc>
      </w:tr>
      <w:tr w14:paraId="38AC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E944">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B7EC">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F6B1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其他装饰工程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EAF8">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77379">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8C503">
            <w:pPr>
              <w:jc w:val="right"/>
              <w:rPr>
                <w:rFonts w:hint="eastAsia" w:ascii="宋体" w:hAnsi="宋体" w:eastAsia="宋体" w:cs="宋体"/>
                <w:i w:val="0"/>
                <w:iCs w:val="0"/>
                <w:color w:val="auto"/>
                <w:sz w:val="18"/>
                <w:szCs w:val="18"/>
                <w:u w:val="none"/>
              </w:rPr>
            </w:pPr>
          </w:p>
        </w:tc>
      </w:tr>
      <w:tr w14:paraId="723A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E73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8BA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F2C2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家具搬运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FB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1、现状家具搬运，结算按时签证结算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FC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AE5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21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537A">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CF9B">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B3E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0D7E">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F80C">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1ECA0">
            <w:pPr>
              <w:jc w:val="right"/>
              <w:rPr>
                <w:rFonts w:hint="eastAsia" w:ascii="宋体" w:hAnsi="宋体" w:eastAsia="宋体" w:cs="宋体"/>
                <w:i w:val="0"/>
                <w:iCs w:val="0"/>
                <w:color w:val="auto"/>
                <w:sz w:val="18"/>
                <w:szCs w:val="18"/>
                <w:u w:val="none"/>
              </w:rPr>
            </w:pPr>
          </w:p>
        </w:tc>
      </w:tr>
      <w:tr w14:paraId="1902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1C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54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011601001001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A07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砖砌体拆除</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42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1、粘土砖(实心砖)实心砖墙拆除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0A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2CA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281.96</w:t>
            </w:r>
          </w:p>
        </w:tc>
      </w:tr>
      <w:tr w14:paraId="2836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95B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0B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011605001002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3E8A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平面块料拆除</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95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1、地面拆除 块料面层铲除 地面砖</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7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E60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34.42</w:t>
            </w:r>
          </w:p>
        </w:tc>
      </w:tr>
      <w:tr w14:paraId="7B5E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0C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80E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011606001001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986A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楼地面龙骨及饰面拆除</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B4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1、旧静电地板拆除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15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C11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25.54</w:t>
            </w:r>
          </w:p>
        </w:tc>
      </w:tr>
      <w:tr w14:paraId="678C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F2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1E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011608002001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2C5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铲除涂料面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44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1、抹灰面铲涂料</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E5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58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10867.73</w:t>
            </w:r>
          </w:p>
        </w:tc>
      </w:tr>
      <w:tr w14:paraId="753C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16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3CB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011606003001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0F2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C4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1、天棚拆除 龙骨及饰面拆除 金属龙骨石膏面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F0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E8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54.5</w:t>
            </w:r>
          </w:p>
        </w:tc>
      </w:tr>
      <w:tr w14:paraId="351A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D19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3E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010103002002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0B9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余方弃置</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D6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1、废弃料品种：建筑垃圾外运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2、建筑垃圾外运清单工程量单位为m3*公里，运距需业主单位签证确认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3、清单工程量=定额工程量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10B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m3*公里</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E0B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3059.85</w:t>
            </w:r>
          </w:p>
        </w:tc>
      </w:tr>
      <w:tr w14:paraId="723C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6B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19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H010103003002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30D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渣土消纳处置费用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18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1、建筑垃圾消纳费暂按一项考虑，结算时按实签证结算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686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253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CA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31F13F">
            <w:pPr>
              <w:jc w:val="left"/>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技术措施</w:t>
            </w:r>
          </w:p>
        </w:tc>
      </w:tr>
      <w:tr w14:paraId="0CD6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5E8D">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DA1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011701006001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562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满堂脚手架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CE85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1、满堂脚手架基本层3.6m～5.2m~单独装饰或二次装饰工程。</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B515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C17A">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3408.16</w:t>
            </w:r>
          </w:p>
        </w:tc>
      </w:tr>
      <w:tr w14:paraId="25F8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FB24">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FDC8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011701003001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A859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0487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1、内墙脚手架高度3.6m以内~单独装饰或二次装饰工程。</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D71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7AA3">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2693.16</w:t>
            </w:r>
          </w:p>
        </w:tc>
      </w:tr>
      <w:tr w14:paraId="0012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681B7">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25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011701003002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B53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78A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1、内墙脚手架高度3.6m以上~单独装饰或二次装饰工程。</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377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8FBF1">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926.36</w:t>
            </w:r>
          </w:p>
        </w:tc>
      </w:tr>
      <w:tr w14:paraId="7F3E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2F36">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1110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011703001001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1DB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垂直运输</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ECE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1、垂直运输费，建筑物檐高30m以内，建筑物垂直运输机械不采用塔吊 ，整体系数*0.2。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96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7B642">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4222.5</w:t>
            </w:r>
          </w:p>
        </w:tc>
      </w:tr>
      <w:tr w14:paraId="0E5E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ED90">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21F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011701002001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62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外脚手架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4538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单项脚手架 外墙脚手架 高度20m以内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F63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383D">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2392.37</w:t>
            </w:r>
          </w:p>
        </w:tc>
      </w:tr>
      <w:tr w14:paraId="6DC5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C398">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A1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011701002002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12C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外脚手架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B76A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单项脚手架 外墙脚手架 高度13m以内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4FDD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8ED6">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1437.2</w:t>
            </w:r>
          </w:p>
        </w:tc>
      </w:tr>
      <w:tr w14:paraId="1890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680" w:type="dxa"/>
            <w:gridSpan w:val="6"/>
            <w:tcBorders>
              <w:top w:val="nil"/>
              <w:left w:val="nil"/>
              <w:bottom w:val="nil"/>
              <w:right w:val="nil"/>
            </w:tcBorders>
            <w:shd w:val="clear" w:color="auto" w:fill="FFFFFF"/>
            <w:vAlign w:val="bottom"/>
          </w:tcPr>
          <w:p w14:paraId="43B17BF0">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单位工程（专业）：北城办事处改造工程-通用安装工程</w:t>
            </w:r>
          </w:p>
        </w:tc>
      </w:tr>
      <w:tr w14:paraId="4B1E6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BB8B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77FE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0AC1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A67D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6585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6997B66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03976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r>
      <w:tr w14:paraId="556D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187B3">
            <w:pPr>
              <w:jc w:val="center"/>
              <w:rPr>
                <w:rFonts w:hint="eastAsia" w:ascii="宋体" w:hAnsi="宋体" w:eastAsia="宋体" w:cs="宋体"/>
                <w:b/>
                <w:bCs/>
                <w:i w:val="0"/>
                <w:iCs w:val="0"/>
                <w:color w:val="auto"/>
                <w:sz w:val="18"/>
                <w:szCs w:val="18"/>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5292B">
            <w:pPr>
              <w:jc w:val="center"/>
              <w:rPr>
                <w:rFonts w:hint="eastAsia" w:ascii="宋体" w:hAnsi="宋体" w:eastAsia="宋体" w:cs="宋体"/>
                <w:b/>
                <w:bCs/>
                <w:i w:val="0"/>
                <w:iCs w:val="0"/>
                <w:color w:val="auto"/>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8D8DE">
            <w:pPr>
              <w:jc w:val="center"/>
              <w:rPr>
                <w:rFonts w:hint="eastAsia" w:ascii="宋体" w:hAnsi="宋体" w:eastAsia="宋体" w:cs="宋体"/>
                <w:b/>
                <w:bCs/>
                <w:i w:val="0"/>
                <w:iCs w:val="0"/>
                <w:color w:val="auto"/>
                <w:sz w:val="18"/>
                <w:szCs w:val="18"/>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79057">
            <w:pPr>
              <w:jc w:val="center"/>
              <w:rPr>
                <w:rFonts w:hint="eastAsia" w:ascii="宋体" w:hAnsi="宋体" w:eastAsia="宋体" w:cs="宋体"/>
                <w:b/>
                <w:bCs/>
                <w:i w:val="0"/>
                <w:iCs w:val="0"/>
                <w:color w:val="auto"/>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BC70B">
            <w:pPr>
              <w:jc w:val="center"/>
              <w:rPr>
                <w:rFonts w:hint="eastAsia" w:ascii="宋体" w:hAnsi="宋体" w:eastAsia="宋体" w:cs="宋体"/>
                <w:b/>
                <w:bCs/>
                <w:i w:val="0"/>
                <w:iCs w:val="0"/>
                <w:color w:val="auto"/>
                <w:sz w:val="18"/>
                <w:szCs w:val="1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7BE93">
            <w:pPr>
              <w:jc w:val="center"/>
              <w:rPr>
                <w:rFonts w:hint="eastAsia" w:ascii="宋体" w:hAnsi="宋体" w:eastAsia="宋体" w:cs="宋体"/>
                <w:b/>
                <w:bCs/>
                <w:i w:val="0"/>
                <w:iCs w:val="0"/>
                <w:color w:val="auto"/>
                <w:sz w:val="18"/>
                <w:szCs w:val="18"/>
                <w:u w:val="none"/>
              </w:rPr>
            </w:pPr>
          </w:p>
        </w:tc>
      </w:tr>
      <w:tr w14:paraId="28F7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D7AD">
            <w:pPr>
              <w:jc w:val="center"/>
              <w:rPr>
                <w:rFonts w:hint="eastAsia" w:ascii="宋体" w:hAnsi="宋体" w:eastAsia="宋体" w:cs="宋体"/>
                <w:i w:val="0"/>
                <w:iCs w:val="0"/>
                <w:color w:val="auto"/>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2ECB">
            <w:pPr>
              <w:jc w:val="center"/>
              <w:rPr>
                <w:rFonts w:hint="eastAsia" w:ascii="宋体" w:hAnsi="宋体" w:eastAsia="宋体" w:cs="宋体"/>
                <w:i w:val="0"/>
                <w:iCs w:val="0"/>
                <w:color w:val="auto"/>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293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电气设备安装工程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343F">
            <w:pPr>
              <w:jc w:val="left"/>
              <w:rPr>
                <w:rFonts w:hint="eastAsia" w:ascii="宋体" w:hAnsi="宋体" w:eastAsia="宋体" w:cs="宋体"/>
                <w:i w:val="0"/>
                <w:iCs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1736">
            <w:pPr>
              <w:jc w:val="left"/>
              <w:rPr>
                <w:rFonts w:hint="eastAsia" w:ascii="宋体" w:hAnsi="宋体" w:eastAsia="宋体" w:cs="宋体"/>
                <w:i w:val="0"/>
                <w:iCs w:val="0"/>
                <w:color w:val="auto"/>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69C5">
            <w:pPr>
              <w:jc w:val="right"/>
              <w:rPr>
                <w:rFonts w:hint="eastAsia" w:ascii="宋体" w:hAnsi="宋体" w:eastAsia="宋体" w:cs="宋体"/>
                <w:i w:val="0"/>
                <w:iCs w:val="0"/>
                <w:color w:val="auto"/>
                <w:sz w:val="18"/>
                <w:szCs w:val="18"/>
                <w:u w:val="none"/>
              </w:rPr>
            </w:pPr>
          </w:p>
        </w:tc>
      </w:tr>
      <w:tr w14:paraId="24F6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506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E2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A0B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F36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2、规格：JDG20*1.6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E66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422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3458.2</w:t>
            </w:r>
          </w:p>
        </w:tc>
      </w:tr>
      <w:tr w14:paraId="2AE7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49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F4D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86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6E4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1.名称：铜芯绝缘导线；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3.型号规格：BV-4。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53C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796A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6916.4</w:t>
            </w:r>
          </w:p>
        </w:tc>
      </w:tr>
      <w:tr w14:paraId="6676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FA2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07A9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030411004004</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6698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F79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1.名称：铜芯绝缘导线；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3.型号规格：BVR-4。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3D4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C8F90">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3458.2</w:t>
            </w:r>
          </w:p>
        </w:tc>
      </w:tr>
      <w:tr w14:paraId="54C1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8680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F4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030404035002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CF2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FC2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1.名称：单相二.三孔两用插座（安全型）；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2.规格：10A,250V,86系列；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3.安装方式：暗装，底边距地0.3m,0.9m,1.0m,1.2m等。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553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7679">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14:paraId="57F1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A2E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31E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030404035003</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1A3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F4C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1.名称：单相二.三孔防水插座（安全型）；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2.规格：10A,250V,86系列；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1143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7269">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1C02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CE1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133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030411006002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CAD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02D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1.名称：开关、插座盒；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3.规格：86H60；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4.安装形式：暗装。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8E7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ED01">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r>
      <w:tr w14:paraId="4A15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D0DE9">
            <w:pPr>
              <w:jc w:val="center"/>
              <w:rPr>
                <w:rFonts w:hint="eastAsia" w:ascii="宋体" w:hAnsi="宋体" w:eastAsia="宋体" w:cs="宋体"/>
                <w:i w:val="0"/>
                <w:iCs w:val="0"/>
                <w:color w:val="auto"/>
                <w:kern w:val="0"/>
                <w:sz w:val="18"/>
                <w:szCs w:val="18"/>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F665">
            <w:pPr>
              <w:jc w:val="center"/>
              <w:rPr>
                <w:rFonts w:hint="eastAsia" w:ascii="宋体" w:hAnsi="宋体" w:eastAsia="宋体" w:cs="宋体"/>
                <w:i w:val="0"/>
                <w:iCs w:val="0"/>
                <w:color w:val="auto"/>
                <w:kern w:val="0"/>
                <w:sz w:val="18"/>
                <w:szCs w:val="18"/>
                <w:u w:val="none"/>
                <w:lang w:val="en-US" w:eastAsia="zh-CN" w:bidi="ar"/>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4D84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建筑智能化工程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7CEBA">
            <w:pPr>
              <w:jc w:val="left"/>
              <w:rPr>
                <w:rFonts w:hint="eastAsia" w:ascii="宋体" w:hAnsi="宋体" w:eastAsia="宋体" w:cs="宋体"/>
                <w:i w:val="0"/>
                <w:iCs w:val="0"/>
                <w:color w:val="auto"/>
                <w:kern w:val="0"/>
                <w:sz w:val="18"/>
                <w:szCs w:val="18"/>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1D9D">
            <w:pPr>
              <w:jc w:val="left"/>
              <w:rPr>
                <w:rFonts w:hint="eastAsia" w:ascii="宋体" w:hAnsi="宋体" w:eastAsia="宋体" w:cs="宋体"/>
                <w:i w:val="0"/>
                <w:iCs w:val="0"/>
                <w:color w:val="auto"/>
                <w:kern w:val="0"/>
                <w:sz w:val="18"/>
                <w:szCs w:val="18"/>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F33A">
            <w:pPr>
              <w:jc w:val="right"/>
              <w:rPr>
                <w:rFonts w:hint="eastAsia" w:ascii="宋体" w:hAnsi="宋体" w:eastAsia="宋体" w:cs="宋体"/>
                <w:i w:val="0"/>
                <w:iCs w:val="0"/>
                <w:color w:val="auto"/>
                <w:kern w:val="0"/>
                <w:sz w:val="18"/>
                <w:szCs w:val="18"/>
                <w:u w:val="none"/>
                <w:lang w:val="en-US" w:eastAsia="zh-CN" w:bidi="ar"/>
              </w:rPr>
            </w:pPr>
          </w:p>
        </w:tc>
      </w:tr>
      <w:tr w14:paraId="1C97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16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EDA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030507008001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249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监控摄像设备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221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1、名称：摄像机球型一体机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2、类别：室内半球 poe-高清安防摄像机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E0E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B65E">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r>
      <w:tr w14:paraId="1495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4741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BC9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030411001001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0D7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E1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1、名称：刚性阻燃管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2、规格：PVC20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2A0D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338C">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751.8</w:t>
            </w:r>
          </w:p>
        </w:tc>
      </w:tr>
      <w:tr w14:paraId="1340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749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BD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030502005001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1EA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双绞线缆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06E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1、名称：双绞线缆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2、规格：UTPCAT6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3、敷设方式：管内穿放（含配套水晶头）</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9D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20E0">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751.8</w:t>
            </w:r>
          </w:p>
        </w:tc>
      </w:tr>
      <w:tr w14:paraId="7D22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9F0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823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030411006003</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97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9616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3、规格：86H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4、安装形式：暗装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F74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1F26B">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4B44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300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A93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030502012002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A22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155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1、名称：单口信息插座面板；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2、规格：86*86型，配合RJ45模块、语音模块一起使用，为信息终端（数据、语音、）提供引出接口，适合多类型模块安装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4D0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7FE3">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0E3D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4C1C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1CF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030502012003</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06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83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1、名称：六类非屏蔽模块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3AA4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B0CEF">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3FF8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97E6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7382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030502019001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A71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双绞线缆测试</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CF3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1、测试类别：测试 4对双绞线缆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8D2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E3C52">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0B59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57D631">
            <w:pPr>
              <w:jc w:val="left"/>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技术措施</w:t>
            </w:r>
          </w:p>
        </w:tc>
      </w:tr>
      <w:tr w14:paraId="680E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C074">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0F7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031301017001</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64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脚手架搭拆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7109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1、脚手架搭拆费第四册。</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6A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641BE">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r w14:paraId="1AAB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ADE23">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9375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031301017002</w:t>
            </w:r>
          </w:p>
        </w:tc>
        <w:tc>
          <w:tcPr>
            <w:tcW w:w="2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51F6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脚手架搭拆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A68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1、脚手架搭拆费第五册。</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587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F245">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bl>
    <w:p w14:paraId="0C6875F2">
      <w:pPr>
        <w:snapToGrid w:val="0"/>
        <w:spacing w:line="400" w:lineRule="exact"/>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三、规范要求</w:t>
      </w:r>
    </w:p>
    <w:p w14:paraId="29A35439">
      <w:pPr>
        <w:pStyle w:val="2"/>
        <w:snapToGrid w:val="0"/>
        <w:spacing w:line="400" w:lineRule="exact"/>
        <w:ind w:firstLine="420" w:firstLineChars="200"/>
        <w:rPr>
          <w:rFonts w:ascii="宋体" w:hAnsi="宋体" w:eastAsia="宋体" w:cs="宋体"/>
          <w:bCs/>
          <w:color w:val="auto"/>
          <w:kern w:val="0"/>
          <w:szCs w:val="21"/>
        </w:rPr>
      </w:pPr>
      <w:r>
        <w:rPr>
          <w:rFonts w:hint="eastAsia" w:ascii="宋体" w:hAnsi="宋体" w:eastAsia="宋体" w:cs="宋体"/>
          <w:bCs/>
          <w:color w:val="auto"/>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0F887403">
      <w:pPr>
        <w:pStyle w:val="2"/>
        <w:snapToGrid w:val="0"/>
        <w:spacing w:line="400" w:lineRule="exact"/>
        <w:ind w:firstLine="420" w:firstLineChars="200"/>
        <w:rPr>
          <w:rFonts w:ascii="宋体" w:hAnsi="宋体" w:eastAsia="宋体" w:cs="宋体"/>
          <w:bCs/>
          <w:color w:val="auto"/>
          <w:kern w:val="0"/>
          <w:szCs w:val="21"/>
        </w:rPr>
      </w:pPr>
      <w:r>
        <w:rPr>
          <w:rFonts w:hint="eastAsia" w:ascii="宋体" w:hAnsi="宋体" w:eastAsia="宋体" w:cs="宋体"/>
          <w:bCs/>
          <w:color w:val="auto"/>
          <w:kern w:val="0"/>
          <w:szCs w:val="21"/>
        </w:rPr>
        <w:t>2.技术规范由供应商方自备，如有不足之处或未能达到国家最新标准时，供应商应使施工及选用的设备和材料符合最新版本的国家标准、规范。</w:t>
      </w:r>
    </w:p>
    <w:p w14:paraId="5AAA2DB2">
      <w:pPr>
        <w:pStyle w:val="2"/>
        <w:snapToGrid w:val="0"/>
        <w:spacing w:line="400" w:lineRule="exact"/>
        <w:rPr>
          <w:rFonts w:ascii="宋体" w:hAnsi="宋体" w:eastAsia="宋体" w:cs="宋体"/>
          <w:b/>
          <w:color w:val="auto"/>
          <w:kern w:val="0"/>
          <w:szCs w:val="21"/>
        </w:rPr>
      </w:pPr>
      <w:r>
        <w:rPr>
          <w:rFonts w:hint="eastAsia" w:ascii="宋体" w:hAnsi="宋体" w:eastAsia="宋体" w:cs="宋体"/>
          <w:b/>
          <w:color w:val="auto"/>
          <w:kern w:val="0"/>
          <w:szCs w:val="21"/>
        </w:rPr>
        <w:t>四、施工要求</w:t>
      </w:r>
    </w:p>
    <w:p w14:paraId="20E64E14">
      <w:pPr>
        <w:pStyle w:val="49"/>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15DB9FA0">
      <w:pPr>
        <w:pStyle w:val="49"/>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2、本工程施工必须严格按照工程技术要求及行业规范进行施工，并无条件地接受采购人全方位、全过程的监督管理。</w:t>
      </w:r>
    </w:p>
    <w:p w14:paraId="4D539989">
      <w:pPr>
        <w:pStyle w:val="49"/>
        <w:ind w:firstLine="420"/>
        <w:rPr>
          <w:rFonts w:ascii="宋体" w:hAnsi="宋体" w:eastAsia="宋体" w:cs="宋体"/>
          <w:color w:val="auto"/>
        </w:rPr>
      </w:pPr>
      <w:r>
        <w:rPr>
          <w:rFonts w:hint="eastAsia" w:ascii="宋体" w:hAnsi="宋体" w:eastAsia="宋体" w:cs="宋体"/>
          <w:color w:val="auto"/>
        </w:rPr>
        <w:t>3、所有材料设备必须在检验合格经采购人同意后，方可用于本工程。</w:t>
      </w:r>
    </w:p>
    <w:p w14:paraId="6055B8AF">
      <w:pPr>
        <w:pStyle w:val="49"/>
        <w:ind w:firstLine="420"/>
        <w:rPr>
          <w:rFonts w:ascii="宋体" w:hAnsi="宋体" w:eastAsia="宋体" w:cs="宋体"/>
          <w:color w:val="auto"/>
        </w:rPr>
      </w:pPr>
      <w:r>
        <w:rPr>
          <w:rFonts w:hint="eastAsia" w:ascii="宋体" w:hAnsi="宋体" w:eastAsia="宋体" w:cs="宋体"/>
          <w:color w:val="auto"/>
        </w:rPr>
        <w:t>4、隐蔽工程必须经采购人检查、验收后，方可进行下一道工序。</w:t>
      </w:r>
    </w:p>
    <w:p w14:paraId="17DEBD76">
      <w:pPr>
        <w:pStyle w:val="49"/>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38434117">
      <w:pPr>
        <w:pStyle w:val="49"/>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46095A0F">
      <w:pPr>
        <w:pStyle w:val="49"/>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0C692C31">
      <w:pPr>
        <w:pStyle w:val="49"/>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5E8B74EB">
      <w:pPr>
        <w:pStyle w:val="49"/>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456414C3">
      <w:pPr>
        <w:pStyle w:val="13"/>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Ansi="宋体" w:cs="宋体"/>
          <w:color w:val="auto"/>
          <w:szCs w:val="21"/>
        </w:rPr>
      </w:pPr>
      <w:r>
        <w:rPr>
          <w:rFonts w:hint="eastAsia" w:hAnsi="宋体" w:eastAsia="宋体" w:cs="宋体"/>
          <w:color w:val="auto"/>
          <w:szCs w:val="21"/>
        </w:rPr>
        <w:t>2、供应商应严格按已确认施工技术方案组织施工，并无条件地接受采购人代表对施工质量的监督和管理。</w:t>
      </w:r>
      <w:r>
        <w:rPr>
          <w:rFonts w:hint="eastAsia" w:hAnsi="宋体" w:cs="宋体"/>
          <w:color w:val="auto"/>
          <w:szCs w:val="21"/>
        </w:rPr>
        <w:t>施工过程中，施工方必须要严格把关，按照相应规范标准要求施工，如出现不符合标准要求的情况，施工方必须无条件返工，直至达到规范标准要求。所发生的费用均由施工方承担。</w:t>
      </w:r>
    </w:p>
    <w:p w14:paraId="3F9E5529">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
          <w:bCs/>
          <w:color w:val="C00000"/>
          <w:sz w:val="21"/>
          <w:szCs w:val="21"/>
        </w:rPr>
      </w:pPr>
      <w:r>
        <w:rPr>
          <w:rFonts w:hint="eastAsia" w:ascii="宋体" w:hAnsi="宋体"/>
          <w:b/>
          <w:color w:val="C00000"/>
          <w:sz w:val="24"/>
        </w:rPr>
        <w:t>▲</w:t>
      </w:r>
      <w:r>
        <w:rPr>
          <w:rFonts w:hint="eastAsia" w:ascii="宋体" w:hAnsi="宋体" w:eastAsia="宋体" w:cs="宋体"/>
          <w:color w:val="C00000"/>
          <w:sz w:val="21"/>
          <w:szCs w:val="21"/>
        </w:rPr>
        <w:t>3、</w:t>
      </w:r>
      <w:r>
        <w:rPr>
          <w:rFonts w:hint="eastAsia" w:ascii="宋体" w:hAnsi="宋体" w:eastAsia="宋体" w:cs="宋体"/>
          <w:b/>
          <w:bCs/>
          <w:color w:val="C00000"/>
          <w:sz w:val="21"/>
          <w:szCs w:val="21"/>
        </w:rPr>
        <w:t>供应商在响应文件中的承诺的项目</w:t>
      </w:r>
      <w:r>
        <w:rPr>
          <w:rFonts w:hint="eastAsia" w:ascii="宋体" w:hAnsi="宋体" w:eastAsia="宋体" w:cs="宋体"/>
          <w:b/>
          <w:bCs/>
          <w:color w:val="C00000"/>
          <w:sz w:val="21"/>
          <w:szCs w:val="21"/>
          <w:lang w:eastAsia="zh-CN"/>
        </w:rPr>
        <w:t>负责人</w:t>
      </w:r>
      <w:r>
        <w:rPr>
          <w:rFonts w:hint="eastAsia" w:ascii="宋体" w:hAnsi="宋体" w:eastAsia="宋体" w:cs="宋体"/>
          <w:b/>
          <w:bCs/>
          <w:color w:val="C00000"/>
          <w:sz w:val="21"/>
          <w:szCs w:val="21"/>
        </w:rPr>
        <w:t>须同时具备以下条件：</w:t>
      </w:r>
    </w:p>
    <w:p w14:paraId="4AAE0CC5">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color w:val="C00000"/>
          <w:sz w:val="21"/>
          <w:szCs w:val="21"/>
          <w:lang w:eastAsia="zh-CN"/>
        </w:rPr>
      </w:pPr>
      <w:r>
        <w:rPr>
          <w:rFonts w:hint="eastAsia" w:ascii="宋体" w:hAnsi="宋体" w:eastAsia="宋体" w:cs="宋体"/>
          <w:b/>
          <w:bCs/>
          <w:color w:val="C00000"/>
          <w:sz w:val="21"/>
          <w:szCs w:val="21"/>
        </w:rPr>
        <w:t>①</w:t>
      </w:r>
      <w:r>
        <w:rPr>
          <w:rFonts w:hint="eastAsia" w:ascii="宋体" w:hAnsi="宋体" w:eastAsia="宋体" w:cs="宋体"/>
          <w:b/>
          <w:bCs/>
          <w:color w:val="C00000"/>
          <w:sz w:val="21"/>
          <w:szCs w:val="21"/>
          <w:lang w:eastAsia="zh-CN"/>
        </w:rPr>
        <w:t>具有建筑工程专业注册建造师二级及以上（不含临时建造师）和三类人员“B”类证书</w:t>
      </w:r>
      <w:r>
        <w:rPr>
          <w:rFonts w:hint="eastAsia" w:ascii="宋体" w:hAnsi="宋体" w:eastAsia="宋体" w:cs="宋体"/>
          <w:b/>
          <w:bCs/>
          <w:color w:val="C00000"/>
          <w:sz w:val="21"/>
          <w:szCs w:val="21"/>
        </w:rPr>
        <w:t>。</w:t>
      </w:r>
    </w:p>
    <w:p w14:paraId="74172FA5">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color w:val="C00000"/>
          <w:sz w:val="21"/>
          <w:szCs w:val="21"/>
        </w:rPr>
      </w:pPr>
      <w:r>
        <w:rPr>
          <w:rFonts w:hint="eastAsia" w:ascii="宋体" w:hAnsi="宋体" w:eastAsia="宋体" w:cs="宋体"/>
          <w:b/>
          <w:bCs/>
          <w:color w:val="C00000"/>
          <w:sz w:val="21"/>
          <w:szCs w:val="21"/>
        </w:rPr>
        <w:t>②拟委任项目负责人未在其他在建项目上任项目经理。</w:t>
      </w:r>
    </w:p>
    <w:p w14:paraId="49BCC8CD">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eastAsia="宋体"/>
          <w:color w:val="C00000"/>
          <w:lang w:eastAsia="zh-CN"/>
        </w:rPr>
      </w:pPr>
      <w:r>
        <w:rPr>
          <w:rFonts w:hint="eastAsia" w:ascii="宋体" w:hAnsi="宋体" w:eastAsia="宋体" w:cs="宋体"/>
          <w:b/>
          <w:bCs/>
          <w:color w:val="C00000"/>
          <w:sz w:val="21"/>
          <w:szCs w:val="21"/>
          <w:lang w:eastAsia="zh-CN"/>
        </w:rPr>
        <w:t>注：需上传项目负责人建造师证书、三类人员“B”类证书及投标截止时间前的近期社保证明扫描件，未按要求提供的将作无效标处理。</w:t>
      </w:r>
    </w:p>
    <w:p w14:paraId="59CE21D9">
      <w:pPr>
        <w:pStyle w:val="14"/>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宋体" w:hAnsi="宋体" w:eastAsia="宋体" w:cs="宋体"/>
          <w:b/>
          <w:bCs/>
          <w:color w:val="C00000"/>
          <w:sz w:val="21"/>
          <w:szCs w:val="21"/>
        </w:rPr>
      </w:pPr>
      <w:r>
        <w:rPr>
          <w:rFonts w:hint="eastAsia" w:ascii="宋体" w:hAnsi="宋体"/>
          <w:b/>
          <w:color w:val="C00000"/>
          <w:sz w:val="24"/>
        </w:rPr>
        <w:t>▲</w:t>
      </w:r>
      <w:r>
        <w:rPr>
          <w:rFonts w:hint="eastAsia" w:ascii="宋体" w:hAnsi="宋体" w:eastAsia="宋体" w:cs="宋体"/>
          <w:b/>
          <w:bCs/>
          <w:color w:val="C00000"/>
          <w:kern w:val="2"/>
          <w:sz w:val="21"/>
          <w:szCs w:val="21"/>
          <w:lang w:val="en-US" w:eastAsia="zh-CN" w:bidi="ar-SA"/>
        </w:rPr>
        <w:t>4、供应商在响应文件中的承诺施工现场专职安全生产管理人员须具有“三类人员”C类证书。</w:t>
      </w:r>
    </w:p>
    <w:p w14:paraId="45745F3F">
      <w:pPr>
        <w:pStyle w:val="49"/>
        <w:keepNext w:val="0"/>
        <w:keepLines w:val="0"/>
        <w:pageBreakBefore w:val="0"/>
        <w:widowControl w:val="0"/>
        <w:kinsoku/>
        <w:wordWrap/>
        <w:overflowPunct/>
        <w:topLinePunct w:val="0"/>
        <w:autoSpaceDE/>
        <w:autoSpaceDN/>
        <w:bidi w:val="0"/>
        <w:spacing w:line="400" w:lineRule="exact"/>
        <w:ind w:firstLine="420"/>
        <w:textAlignment w:val="auto"/>
        <w:rPr>
          <w:rFonts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、供应商在响应文件中的承诺的管理人员</w:t>
      </w:r>
      <w:r>
        <w:rPr>
          <w:rFonts w:hint="eastAsia" w:ascii="宋体" w:hAnsi="宋体" w:eastAsia="宋体" w:cs="宋体"/>
          <w:color w:val="auto"/>
          <w:lang w:eastAsia="zh-CN"/>
        </w:rPr>
        <w:t>（管理人员岗位不能兼任）</w:t>
      </w:r>
      <w:r>
        <w:rPr>
          <w:rFonts w:hint="eastAsia" w:ascii="宋体" w:hAnsi="宋体" w:eastAsia="宋体" w:cs="宋体"/>
          <w:color w:val="auto"/>
        </w:rPr>
        <w:t>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558AEC89">
      <w:pPr>
        <w:pStyle w:val="49"/>
        <w:ind w:firstLine="420"/>
        <w:rPr>
          <w:rFonts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、供应商在工程施工全过程中要认真做好产品保护。因失窃或失火造成的损失均由承包方负责，凡由此而损及采购人利益时，采购人将向成交施工单位索赔。</w:t>
      </w:r>
    </w:p>
    <w:p w14:paraId="2466BFA5">
      <w:pPr>
        <w:pStyle w:val="5"/>
        <w:snapToGrid w:val="0"/>
        <w:spacing w:line="400" w:lineRule="exact"/>
        <w:rPr>
          <w:rFonts w:ascii="宋体" w:hAnsi="宋体" w:eastAsia="宋体" w:cs="宋体"/>
          <w:bCs w:val="0"/>
          <w:color w:val="auto"/>
          <w:sz w:val="21"/>
          <w:szCs w:val="21"/>
        </w:rPr>
      </w:pPr>
      <w:r>
        <w:rPr>
          <w:rFonts w:hint="eastAsia" w:ascii="宋体" w:hAnsi="宋体" w:eastAsia="宋体" w:cs="宋体"/>
          <w:bCs w:val="0"/>
          <w:color w:val="auto"/>
          <w:sz w:val="21"/>
          <w:szCs w:val="21"/>
        </w:rPr>
        <w:t>六、报价要求</w:t>
      </w:r>
    </w:p>
    <w:p w14:paraId="2E354108">
      <w:pPr>
        <w:snapToGrid w:val="0"/>
        <w:spacing w:line="40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color w:val="auto"/>
          <w:sz w:val="21"/>
          <w:szCs w:val="21"/>
        </w:rPr>
        <w:t>供应商应按规定的要求填写相应表格，在填报价格及费用时应充分考虑国家现行技术标准、规范和施工说明要求。</w:t>
      </w:r>
    </w:p>
    <w:p w14:paraId="6BAA949F">
      <w:pPr>
        <w:tabs>
          <w:tab w:val="left" w:pos="0"/>
        </w:tabs>
        <w:snapToGrid w:val="0"/>
        <w:spacing w:line="400" w:lineRule="exact"/>
        <w:rPr>
          <w:rFonts w:ascii="宋体" w:hAnsi="宋体" w:eastAsia="宋体" w:cs="宋体"/>
          <w:color w:val="auto"/>
          <w:sz w:val="21"/>
          <w:szCs w:val="21"/>
        </w:rPr>
      </w:pPr>
      <w:r>
        <w:rPr>
          <w:rFonts w:hint="eastAsia" w:ascii="宋体" w:hAnsi="宋体" w:eastAsia="宋体" w:cs="宋体"/>
          <w:bCs/>
          <w:color w:val="auto"/>
          <w:sz w:val="21"/>
          <w:szCs w:val="21"/>
        </w:rPr>
        <w:t xml:space="preserve">    2、</w:t>
      </w:r>
      <w:r>
        <w:rPr>
          <w:rFonts w:hint="eastAsia" w:ascii="宋体" w:hAnsi="宋体" w:eastAsia="宋体" w:cs="宋体"/>
          <w:color w:val="auto"/>
          <w:sz w:val="21"/>
          <w:szCs w:val="21"/>
        </w:rPr>
        <w:t>除非采购人对采购文件予以修改，供应商应按采购人提供的采购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22B2E680">
      <w:pPr>
        <w:tabs>
          <w:tab w:val="left" w:pos="0"/>
        </w:tabs>
        <w:snapToGrid w:val="0"/>
        <w:spacing w:line="400" w:lineRule="exact"/>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 xml:space="preserve"> 3、清单中的工程项目请供应商自行踏勘现场综合报价，作为专业承包商</w:t>
      </w:r>
      <w:bookmarkStart w:id="30" w:name="page23"/>
      <w:bookmarkEnd w:id="30"/>
      <w:r>
        <w:rPr>
          <w:rFonts w:hint="eastAsia" w:ascii="宋体" w:hAnsi="宋体" w:eastAsia="宋体" w:cs="宋体"/>
          <w:color w:val="auto"/>
          <w:sz w:val="21"/>
          <w:szCs w:val="21"/>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14:paraId="7C527B0B">
      <w:pPr>
        <w:tabs>
          <w:tab w:val="left" w:pos="0"/>
        </w:tabs>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4、合同价格采用固定综合单价承包，</w:t>
      </w:r>
      <w:r>
        <w:rPr>
          <w:rFonts w:hint="eastAsia" w:ascii="宋体" w:hAnsi="宋体" w:eastAsia="宋体" w:cs="宋体"/>
          <w:bCs/>
          <w:color w:val="auto"/>
          <w:sz w:val="21"/>
          <w:szCs w:val="21"/>
        </w:rPr>
        <w:t>工程量按实结算</w:t>
      </w:r>
      <w:r>
        <w:rPr>
          <w:rFonts w:hint="eastAsia" w:ascii="宋体" w:hAnsi="宋体" w:eastAsia="宋体" w:cs="宋体"/>
          <w:color w:val="auto"/>
          <w:sz w:val="21"/>
          <w:szCs w:val="21"/>
        </w:rPr>
        <w:t>。</w:t>
      </w:r>
    </w:p>
    <w:p w14:paraId="409045AE">
      <w:pPr>
        <w:tabs>
          <w:tab w:val="left" w:pos="0"/>
        </w:tabs>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5、供应商需充分考虑以下影响因素，由此产生的费用计入投标报价中：</w:t>
      </w:r>
    </w:p>
    <w:p w14:paraId="685DC8DF">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（1）本工程施工用水用电由供应商自行考虑，相关费用计入投标报价。</w:t>
      </w:r>
    </w:p>
    <w:p w14:paraId="5EBE9CA6">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（2）环境保护、工程围护、交通维护、警示措施必须按有关部门的要求，并承担相关费用。</w:t>
      </w:r>
    </w:p>
    <w:p w14:paraId="5972AF9D">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（3）本工程施工过程中，对原有设施需进行保护，如造成破坏的需进行原样恢复并承担相关费用，请考虑到投标报价中。</w:t>
      </w:r>
    </w:p>
    <w:p w14:paraId="6D259B9E">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（4）供应商应自行到工地踏勘以充分了解工地位置、情况、道路、储存空间、装卸限制及任何其他足以影响承包价的情况，任何因忽视或误解工地情况而导致的索赔或工期延长申请将不被批准。</w:t>
      </w:r>
    </w:p>
    <w:p w14:paraId="0FA2EC7D">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（5）关于结算的约定：工程竣工验收合格后，承包人按合同等要求及时报送结算，结算的编制应规范、准确，以事实为依据，遵循实事求是的原则。</w:t>
      </w:r>
    </w:p>
    <w:p w14:paraId="4C4DA99A">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（6）本工程与施工交接的已完建筑物、室内设施的成品保护及所有已完工程及设备的保护，若在施工过程中有损坏的，必须原样修复。</w:t>
      </w:r>
    </w:p>
    <w:p w14:paraId="17F3D120">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（7）与施工交接的已完建（构）筑物、各种管线的保护措施及费用请承包人考虑计入投标总价。</w:t>
      </w:r>
    </w:p>
    <w:p w14:paraId="4D8F66CD">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（8）本工程所采用的材料，承包人在投标报价时必须考虑材料运至工地，到工地后的卸车、二次搬运、保管、验收所产生的费用。工程结算时，不作调整。承包人必须服从采购人安排并按采购人要求实施。</w:t>
      </w:r>
    </w:p>
    <w:p w14:paraId="1C41572B">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14:paraId="15298C15">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（10）停水、停电等施工应急预案的技术措施及设备设施配置（必须选配功率合适的发电机备用,相应费用计入总报价,工程结算时，不得增加。</w:t>
      </w:r>
    </w:p>
    <w:p w14:paraId="5E04ADA3">
      <w:pPr>
        <w:snapToGrid w:val="0"/>
        <w:spacing w:line="400" w:lineRule="exact"/>
        <w:ind w:firstLine="420" w:firstLineChars="200"/>
        <w:rPr>
          <w:rFonts w:eastAsia="宋体"/>
          <w:color w:val="auto"/>
        </w:rPr>
      </w:pPr>
      <w:r>
        <w:rPr>
          <w:rFonts w:hint="eastAsia" w:ascii="宋体" w:hAnsi="宋体" w:eastAsia="宋体" w:cs="宋体"/>
          <w:bCs/>
          <w:color w:val="auto"/>
          <w:sz w:val="21"/>
          <w:szCs w:val="21"/>
        </w:rPr>
        <w:t>6、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F94D31C">
      <w:pPr>
        <w:pStyle w:val="3"/>
        <w:snapToGrid w:val="0"/>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七、商务条款</w:t>
      </w:r>
    </w:p>
    <w:p w14:paraId="2B1749D0">
      <w:pPr>
        <w:pStyle w:val="3"/>
        <w:snapToGrid w:val="0"/>
        <w:spacing w:line="400" w:lineRule="exact"/>
        <w:ind w:firstLineChars="200"/>
        <w:rPr>
          <w:rFonts w:ascii="宋体" w:hAnsi="宋体" w:eastAsia="宋体" w:cs="宋体"/>
          <w:color w:val="auto"/>
          <w:szCs w:val="21"/>
        </w:rPr>
      </w:pPr>
      <w:r>
        <w:rPr>
          <w:rFonts w:hint="eastAsia" w:ascii="宋体" w:hAnsi="宋体" w:eastAsia="宋体" w:cs="宋体"/>
          <w:color w:val="auto"/>
          <w:szCs w:val="21"/>
        </w:rPr>
        <w:t>1、履约保证金</w:t>
      </w:r>
    </w:p>
    <w:p w14:paraId="3B17A4A6">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（1）成交供应商向采购人提供履约担保，担保方式为：</w:t>
      </w:r>
      <w:r>
        <w:rPr>
          <w:rFonts w:hint="eastAsia" w:ascii="宋体" w:hAnsi="宋体" w:eastAsia="宋体" w:cs="宋体"/>
          <w:color w:val="auto"/>
          <w:sz w:val="21"/>
          <w:szCs w:val="21"/>
          <w:u w:val="single"/>
        </w:rPr>
        <w:t xml:space="preserve"> 现金、转账、政采贷及采购人认可的保函形式（如银行保函、保险机构保证保险保单和融资担保公司保函 ）</w:t>
      </w:r>
      <w:r>
        <w:rPr>
          <w:rFonts w:hint="eastAsia" w:ascii="宋体" w:hAnsi="宋体" w:eastAsia="宋体" w:cs="宋体"/>
          <w:color w:val="auto"/>
          <w:sz w:val="21"/>
          <w:szCs w:val="21"/>
        </w:rPr>
        <w:t>，担保合同作为合同附件。担保额度：</w:t>
      </w:r>
      <w:r>
        <w:rPr>
          <w:rFonts w:hint="eastAsia" w:ascii="宋体" w:hAnsi="宋体" w:eastAsia="宋体" w:cs="宋体"/>
          <w:color w:val="auto"/>
          <w:sz w:val="21"/>
          <w:szCs w:val="21"/>
          <w:lang w:eastAsia="zh-CN"/>
        </w:rPr>
        <w:t>合同价的1%</w:t>
      </w:r>
      <w:r>
        <w:rPr>
          <w:rFonts w:hint="eastAsia" w:ascii="宋体" w:hAnsi="宋体" w:eastAsia="宋体" w:cs="宋体"/>
          <w:color w:val="auto"/>
          <w:sz w:val="21"/>
          <w:szCs w:val="21"/>
        </w:rPr>
        <w:t>。成交供应商在合同协议签订前，应按合同规定向采购人提交履约保证金。</w:t>
      </w:r>
    </w:p>
    <w:p w14:paraId="066CDB27">
      <w:pPr>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lang w:val="zh-CN"/>
        </w:rPr>
        <w:t>工程通过竣工验收合格</w:t>
      </w:r>
      <w:r>
        <w:rPr>
          <w:rFonts w:hint="eastAsia" w:ascii="宋体" w:hAnsi="宋体" w:eastAsia="宋体" w:cs="宋体"/>
          <w:color w:val="auto"/>
          <w:kern w:val="0"/>
          <w:sz w:val="21"/>
          <w:szCs w:val="21"/>
        </w:rPr>
        <w:t>10日内</w:t>
      </w:r>
      <w:r>
        <w:rPr>
          <w:rFonts w:hint="eastAsia" w:ascii="宋体" w:hAnsi="宋体" w:eastAsia="宋体" w:cs="宋体"/>
          <w:color w:val="auto"/>
          <w:kern w:val="0"/>
          <w:sz w:val="21"/>
          <w:szCs w:val="21"/>
          <w:lang w:val="zh-CN"/>
        </w:rPr>
        <w:t>无息退还。</w:t>
      </w:r>
      <w:r>
        <w:rPr>
          <w:rFonts w:hint="eastAsia" w:ascii="宋体" w:hAnsi="宋体" w:cs="宋体"/>
          <w:b/>
          <w:bCs/>
          <w:color w:val="auto"/>
          <w:sz w:val="21"/>
          <w:szCs w:val="21"/>
        </w:rPr>
        <w:t>承包人应保证履约担保在发包人颁发合同工程完工证书前一直有效。承包商履约保函有效期内，如合同规定的承包人履约义务未完成的，应在履约保函到期日前及时办理续保手续，否则发包人有权暂停支付工程款；在合同履行期间发生履约保证金扣除的，承包人应在15日内补足全额，否则发包人有权暂停支付工程款</w:t>
      </w:r>
      <w:r>
        <w:rPr>
          <w:rFonts w:hint="eastAsia" w:ascii="宋体" w:hAnsi="宋体" w:eastAsia="宋体" w:cs="宋体"/>
          <w:color w:val="auto"/>
          <w:sz w:val="21"/>
          <w:szCs w:val="21"/>
        </w:rPr>
        <w:t>。</w:t>
      </w:r>
    </w:p>
    <w:p w14:paraId="39926B2F">
      <w:pPr>
        <w:pStyle w:val="3"/>
        <w:snapToGrid w:val="0"/>
        <w:spacing w:line="400" w:lineRule="exact"/>
        <w:ind w:firstLineChars="200"/>
        <w:rPr>
          <w:rFonts w:ascii="宋体" w:hAnsi="宋体" w:eastAsia="宋体" w:cs="宋体"/>
          <w:color w:val="auto"/>
          <w:szCs w:val="21"/>
        </w:rPr>
      </w:pPr>
      <w:r>
        <w:rPr>
          <w:rFonts w:hint="eastAsia" w:ascii="宋体" w:hAnsi="宋体" w:eastAsia="宋体" w:cs="宋体"/>
          <w:color w:val="auto"/>
          <w:szCs w:val="21"/>
        </w:rPr>
        <w:t>2、保修要求</w:t>
      </w:r>
    </w:p>
    <w:p w14:paraId="49146CA7">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rPr>
        <w:t>（1）</w:t>
      </w:r>
      <w:r>
        <w:rPr>
          <w:rFonts w:hint="eastAsia" w:ascii="宋体" w:hAnsi="宋体" w:eastAsia="宋体" w:cs="宋体"/>
          <w:color w:val="auto"/>
          <w:sz w:val="21"/>
          <w:szCs w:val="21"/>
        </w:rPr>
        <w:t>质保期</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p>
    <w:p w14:paraId="596DB316">
      <w:pPr>
        <w:snapToGrid w:val="0"/>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（2）成交供应商应与采购人签订工程质量保修书，承包人在质量保修期内，按照有关法律、法规、规章的管理规定和双方约定，承担本工程质量保修责任。</w:t>
      </w:r>
    </w:p>
    <w:p w14:paraId="6427E1AC">
      <w:pPr>
        <w:pStyle w:val="3"/>
        <w:snapToGrid w:val="0"/>
        <w:spacing w:line="400" w:lineRule="exact"/>
        <w:ind w:firstLineChars="200"/>
        <w:rPr>
          <w:rFonts w:ascii="宋体" w:hAnsi="宋体" w:eastAsia="宋体" w:cs="宋体"/>
          <w:bCs/>
          <w:color w:val="auto"/>
          <w:szCs w:val="21"/>
        </w:rPr>
      </w:pPr>
      <w:r>
        <w:rPr>
          <w:rFonts w:hint="eastAsia" w:ascii="宋体" w:hAnsi="宋体" w:cs="宋体"/>
          <w:bCs/>
          <w:color w:val="auto"/>
          <w:szCs w:val="21"/>
        </w:rPr>
        <w:t>（3）成交供应商要对其所提供的施工、材料、设备及其内在工程质量负全部责任。</w:t>
      </w:r>
    </w:p>
    <w:p w14:paraId="4A93E4B1">
      <w:pPr>
        <w:widowControl/>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Calibri" w:cs="Times New Roman"/>
          <w:bCs/>
          <w:color w:val="auto"/>
          <w:kern w:val="2"/>
          <w:sz w:val="21"/>
          <w:szCs w:val="21"/>
          <w:lang w:val="en-US" w:eastAsia="zh-CN" w:bidi="ar-SA"/>
        </w:rPr>
        <w:t>▲</w:t>
      </w:r>
      <w:r>
        <w:rPr>
          <w:rFonts w:hint="eastAsia" w:ascii="宋体" w:hAnsi="宋体" w:eastAsia="宋体" w:cs="宋体"/>
          <w:color w:val="auto"/>
          <w:sz w:val="21"/>
          <w:szCs w:val="21"/>
        </w:rPr>
        <w:t>3、付款方式：发包人向承包人支付当期工程量价款的</w:t>
      </w: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rPr>
        <w:t>%工程价款（不包含10%预付款），待工程竣工验收合格后，</w:t>
      </w:r>
      <w:r>
        <w:rPr>
          <w:rFonts w:hint="eastAsia" w:ascii="宋体" w:hAnsi="宋体" w:eastAsia="宋体" w:cs="宋体"/>
          <w:color w:val="auto"/>
          <w:sz w:val="21"/>
          <w:szCs w:val="21"/>
          <w:lang w:eastAsia="zh-CN"/>
        </w:rPr>
        <w:t>付至合同价格的85%</w:t>
      </w:r>
      <w:r>
        <w:rPr>
          <w:rFonts w:hint="eastAsia" w:ascii="宋体" w:hAnsi="宋体" w:eastAsia="宋体" w:cs="宋体"/>
          <w:color w:val="auto"/>
          <w:sz w:val="21"/>
          <w:szCs w:val="21"/>
        </w:rPr>
        <w:t>（含预付款），</w:t>
      </w:r>
      <w:bookmarkStart w:id="31" w:name="_Toc288556318"/>
      <w:bookmarkStart w:id="32" w:name="_Toc229990375"/>
      <w:bookmarkStart w:id="33" w:name="_Toc283976565"/>
      <w:bookmarkStart w:id="34" w:name="_Toc372899892"/>
      <w:bookmarkStart w:id="35" w:name="_Toc532282506"/>
      <w:bookmarkStart w:id="36" w:name="_Toc282596330"/>
      <w:bookmarkStart w:id="37" w:name="_Toc283886275"/>
      <w:bookmarkStart w:id="38" w:name="_Toc394573962"/>
      <w:r>
        <w:rPr>
          <w:rFonts w:hint="eastAsia" w:ascii="宋体" w:hAnsi="宋体" w:eastAsia="宋体" w:cs="宋体"/>
          <w:color w:val="auto"/>
          <w:sz w:val="21"/>
          <w:szCs w:val="21"/>
          <w:lang w:eastAsia="zh-CN"/>
        </w:rPr>
        <w:t>工程结算经审定后，承包人提交工程质量保证金保函（保证金额为1.5%的工程结算价款）给发包人，然后发包人付清余款。工程实际竣工验收合格后满2年后工程质量保证金保函自动失效。所有款项均在承包人开具正式的税务发票且发包人收到发票后7个工作日内支付。</w:t>
      </w:r>
    </w:p>
    <w:bookmarkEnd w:id="31"/>
    <w:bookmarkEnd w:id="32"/>
    <w:bookmarkEnd w:id="33"/>
    <w:bookmarkEnd w:id="34"/>
    <w:bookmarkEnd w:id="35"/>
    <w:bookmarkEnd w:id="36"/>
    <w:bookmarkEnd w:id="37"/>
    <w:bookmarkEnd w:id="38"/>
    <w:p w14:paraId="1CA81806">
      <w:pPr>
        <w:pStyle w:val="33"/>
        <w:rPr>
          <w:rFonts w:ascii="宋体" w:hAnsi="宋体" w:eastAsia="宋体" w:cs="宋体"/>
          <w:color w:val="auto"/>
          <w:sz w:val="21"/>
          <w:szCs w:val="21"/>
        </w:rPr>
      </w:pPr>
    </w:p>
    <w:p w14:paraId="47239FE2">
      <w:pPr>
        <w:widowControl/>
        <w:snapToGrid w:val="0"/>
        <w:spacing w:line="400" w:lineRule="exact"/>
        <w:jc w:val="center"/>
        <w:rPr>
          <w:rFonts w:hint="eastAsia"/>
          <w:b/>
          <w:color w:val="auto"/>
          <w:sz w:val="32"/>
          <w:szCs w:val="32"/>
        </w:rPr>
      </w:pPr>
    </w:p>
    <w:p w14:paraId="163E0280">
      <w:pPr>
        <w:widowControl/>
        <w:snapToGrid w:val="0"/>
        <w:spacing w:line="400" w:lineRule="exact"/>
        <w:jc w:val="center"/>
        <w:rPr>
          <w:rFonts w:hint="eastAsia"/>
          <w:b/>
          <w:color w:val="auto"/>
          <w:sz w:val="32"/>
          <w:szCs w:val="32"/>
        </w:rPr>
      </w:pPr>
    </w:p>
    <w:p w14:paraId="4E4F31A6">
      <w:pPr>
        <w:widowControl/>
        <w:snapToGrid w:val="0"/>
        <w:spacing w:line="400" w:lineRule="exact"/>
        <w:jc w:val="center"/>
        <w:rPr>
          <w:rFonts w:hint="eastAsia"/>
          <w:b/>
          <w:color w:val="auto"/>
          <w:sz w:val="32"/>
          <w:szCs w:val="32"/>
        </w:rPr>
      </w:pPr>
    </w:p>
    <w:p w14:paraId="3419EDBC">
      <w:pPr>
        <w:widowControl/>
        <w:snapToGrid w:val="0"/>
        <w:spacing w:line="400" w:lineRule="exact"/>
        <w:jc w:val="center"/>
        <w:rPr>
          <w:rFonts w:hint="eastAsia"/>
          <w:b/>
          <w:color w:val="auto"/>
          <w:sz w:val="32"/>
          <w:szCs w:val="32"/>
        </w:rPr>
      </w:pPr>
    </w:p>
    <w:p w14:paraId="00329436">
      <w:pPr>
        <w:widowControl/>
        <w:snapToGrid w:val="0"/>
        <w:spacing w:line="400" w:lineRule="exact"/>
        <w:jc w:val="center"/>
        <w:rPr>
          <w:rFonts w:hint="eastAsia"/>
          <w:b/>
          <w:color w:val="auto"/>
          <w:sz w:val="32"/>
          <w:szCs w:val="32"/>
        </w:rPr>
      </w:pPr>
    </w:p>
    <w:p w14:paraId="35B0CC22">
      <w:pPr>
        <w:widowControl/>
        <w:snapToGrid w:val="0"/>
        <w:spacing w:line="400" w:lineRule="exact"/>
        <w:jc w:val="center"/>
        <w:rPr>
          <w:rFonts w:hint="eastAsia"/>
          <w:b/>
          <w:color w:val="auto"/>
          <w:sz w:val="32"/>
          <w:szCs w:val="32"/>
        </w:rPr>
      </w:pPr>
    </w:p>
    <w:p w14:paraId="15D66C0F">
      <w:pPr>
        <w:widowControl/>
        <w:snapToGrid w:val="0"/>
        <w:spacing w:line="400" w:lineRule="exact"/>
        <w:jc w:val="center"/>
        <w:rPr>
          <w:rFonts w:hint="eastAsia"/>
          <w:b/>
          <w:color w:val="auto"/>
          <w:sz w:val="32"/>
          <w:szCs w:val="32"/>
        </w:rPr>
      </w:pPr>
    </w:p>
    <w:p w14:paraId="183B8462">
      <w:pPr>
        <w:widowControl/>
        <w:snapToGrid w:val="0"/>
        <w:spacing w:line="400" w:lineRule="exact"/>
        <w:jc w:val="center"/>
        <w:rPr>
          <w:rFonts w:hint="eastAsia"/>
          <w:b/>
          <w:color w:val="auto"/>
          <w:sz w:val="32"/>
          <w:szCs w:val="32"/>
        </w:rPr>
      </w:pPr>
    </w:p>
    <w:p w14:paraId="7F32911A">
      <w:pPr>
        <w:widowControl/>
        <w:snapToGrid w:val="0"/>
        <w:spacing w:line="400" w:lineRule="exact"/>
        <w:jc w:val="center"/>
        <w:rPr>
          <w:rFonts w:hint="eastAsia"/>
          <w:b/>
          <w:color w:val="auto"/>
          <w:sz w:val="32"/>
          <w:szCs w:val="32"/>
        </w:rPr>
      </w:pPr>
    </w:p>
    <w:p w14:paraId="009CDC0E">
      <w:pPr>
        <w:pStyle w:val="2"/>
        <w:rPr>
          <w:rFonts w:hint="eastAsia"/>
          <w:b/>
          <w:color w:val="auto"/>
          <w:sz w:val="32"/>
          <w:szCs w:val="32"/>
        </w:rPr>
      </w:pPr>
    </w:p>
    <w:p w14:paraId="29AC5CED">
      <w:pPr>
        <w:pStyle w:val="3"/>
        <w:rPr>
          <w:rFonts w:hint="eastAsia"/>
          <w:b/>
          <w:color w:val="auto"/>
          <w:sz w:val="32"/>
          <w:szCs w:val="32"/>
        </w:rPr>
      </w:pPr>
    </w:p>
    <w:p w14:paraId="1BF68E76">
      <w:pPr>
        <w:pStyle w:val="3"/>
        <w:rPr>
          <w:rFonts w:hint="eastAsia"/>
          <w:b/>
          <w:color w:val="auto"/>
          <w:sz w:val="32"/>
          <w:szCs w:val="32"/>
        </w:rPr>
      </w:pPr>
    </w:p>
    <w:p w14:paraId="2A420F51">
      <w:pPr>
        <w:pStyle w:val="3"/>
        <w:rPr>
          <w:rFonts w:hint="eastAsia"/>
          <w:b/>
          <w:color w:val="auto"/>
          <w:sz w:val="32"/>
          <w:szCs w:val="32"/>
        </w:rPr>
      </w:pPr>
    </w:p>
    <w:p w14:paraId="78C74B1F">
      <w:pPr>
        <w:pStyle w:val="3"/>
        <w:rPr>
          <w:rFonts w:hint="eastAsia"/>
          <w:b/>
          <w:color w:val="auto"/>
          <w:sz w:val="32"/>
          <w:szCs w:val="32"/>
        </w:rPr>
      </w:pPr>
    </w:p>
    <w:p w14:paraId="0AFC8C1E">
      <w:pPr>
        <w:pStyle w:val="3"/>
        <w:rPr>
          <w:rFonts w:hint="eastAsia"/>
          <w:b/>
          <w:color w:val="auto"/>
          <w:sz w:val="32"/>
          <w:szCs w:val="32"/>
        </w:rPr>
      </w:pPr>
      <w:bookmarkStart w:id="552" w:name="_GoBack"/>
      <w:bookmarkEnd w:id="552"/>
    </w:p>
    <w:p w14:paraId="7A740085">
      <w:pPr>
        <w:pStyle w:val="3"/>
        <w:rPr>
          <w:rFonts w:hint="eastAsia"/>
          <w:b/>
          <w:color w:val="auto"/>
          <w:sz w:val="32"/>
          <w:szCs w:val="32"/>
        </w:rPr>
      </w:pPr>
    </w:p>
    <w:p w14:paraId="57C92514">
      <w:pPr>
        <w:widowControl/>
        <w:snapToGrid w:val="0"/>
        <w:spacing w:line="400" w:lineRule="exact"/>
        <w:jc w:val="center"/>
        <w:rPr>
          <w:rFonts w:hint="eastAsia"/>
          <w:b/>
          <w:color w:val="auto"/>
          <w:sz w:val="32"/>
          <w:szCs w:val="32"/>
        </w:rPr>
      </w:pPr>
    </w:p>
    <w:p w14:paraId="5AB7B9CD">
      <w:pPr>
        <w:widowControl/>
        <w:snapToGrid w:val="0"/>
        <w:spacing w:line="400" w:lineRule="exact"/>
        <w:jc w:val="center"/>
        <w:rPr>
          <w:rFonts w:hint="eastAsia"/>
          <w:b/>
          <w:color w:val="auto"/>
          <w:sz w:val="32"/>
          <w:szCs w:val="32"/>
        </w:rPr>
      </w:pPr>
    </w:p>
    <w:p w14:paraId="501E56AD">
      <w:pPr>
        <w:widowControl/>
        <w:snapToGrid w:val="0"/>
        <w:spacing w:line="400" w:lineRule="exact"/>
        <w:jc w:val="center"/>
        <w:rPr>
          <w:rFonts w:ascii="宋体"/>
          <w:color w:val="auto"/>
          <w:sz w:val="32"/>
          <w:szCs w:val="32"/>
        </w:rPr>
      </w:pPr>
      <w:r>
        <w:rPr>
          <w:rFonts w:hint="eastAsia"/>
          <w:b/>
          <w:color w:val="auto"/>
          <w:sz w:val="32"/>
          <w:szCs w:val="32"/>
        </w:rPr>
        <w:t xml:space="preserve">第三部分 </w:t>
      </w:r>
      <w:bookmarkEnd w:id="28"/>
      <w:bookmarkStart w:id="39" w:name="_Toc257923936"/>
      <w:r>
        <w:rPr>
          <w:rFonts w:hint="eastAsia"/>
          <w:b/>
          <w:color w:val="auto"/>
          <w:sz w:val="32"/>
          <w:szCs w:val="32"/>
        </w:rPr>
        <w:t>磋商须知</w:t>
      </w:r>
    </w:p>
    <w:p w14:paraId="5111D210">
      <w:pPr>
        <w:adjustRightInd w:val="0"/>
        <w:snapToGrid w:val="0"/>
        <w:jc w:val="center"/>
        <w:outlineLvl w:val="0"/>
        <w:rPr>
          <w:b/>
          <w:color w:val="auto"/>
          <w:sz w:val="32"/>
          <w:szCs w:val="32"/>
        </w:rPr>
      </w:pPr>
      <w:bookmarkStart w:id="40" w:name="_Toc306901445"/>
      <w:bookmarkStart w:id="41" w:name="_Toc302983094"/>
      <w:bookmarkStart w:id="42" w:name="_Toc283973075"/>
      <w:r>
        <w:rPr>
          <w:rFonts w:hint="eastAsia"/>
          <w:b/>
          <w:color w:val="auto"/>
          <w:sz w:val="32"/>
          <w:szCs w:val="32"/>
        </w:rPr>
        <w:t xml:space="preserve"> 前附表</w:t>
      </w:r>
      <w:bookmarkEnd w:id="39"/>
      <w:bookmarkEnd w:id="40"/>
      <w:bookmarkEnd w:id="41"/>
      <w:bookmarkEnd w:id="42"/>
    </w:p>
    <w:tbl>
      <w:tblPr>
        <w:tblStyle w:val="26"/>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5E3C5F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ign w:val="center"/>
          </w:tcPr>
          <w:p w14:paraId="0BFC413A">
            <w:pPr>
              <w:spacing w:line="300" w:lineRule="exact"/>
              <w:jc w:val="center"/>
              <w:rPr>
                <w:rFonts w:ascii="宋体" w:hAnsi="宋体"/>
                <w:b/>
                <w:color w:val="auto"/>
                <w:sz w:val="21"/>
                <w:szCs w:val="21"/>
              </w:rPr>
            </w:pPr>
            <w:r>
              <w:rPr>
                <w:rFonts w:hint="eastAsia" w:ascii="宋体" w:hAnsi="宋体"/>
                <w:b/>
                <w:color w:val="auto"/>
                <w:sz w:val="21"/>
                <w:szCs w:val="21"/>
              </w:rPr>
              <w:t>序号</w:t>
            </w:r>
          </w:p>
        </w:tc>
        <w:tc>
          <w:tcPr>
            <w:tcW w:w="2019" w:type="dxa"/>
            <w:noWrap/>
            <w:vAlign w:val="center"/>
          </w:tcPr>
          <w:p w14:paraId="2F7A20C1">
            <w:pPr>
              <w:spacing w:line="300" w:lineRule="exact"/>
              <w:ind w:firstLine="210" w:firstLineChars="100"/>
              <w:jc w:val="center"/>
              <w:rPr>
                <w:rFonts w:ascii="宋体" w:hAnsi="宋体"/>
                <w:b/>
                <w:color w:val="auto"/>
                <w:sz w:val="21"/>
                <w:szCs w:val="21"/>
              </w:rPr>
            </w:pPr>
            <w:r>
              <w:rPr>
                <w:rFonts w:hint="eastAsia" w:ascii="宋体" w:hAnsi="宋体"/>
                <w:b/>
                <w:color w:val="auto"/>
                <w:sz w:val="21"/>
                <w:szCs w:val="21"/>
              </w:rPr>
              <w:t>项   目</w:t>
            </w:r>
          </w:p>
        </w:tc>
        <w:tc>
          <w:tcPr>
            <w:tcW w:w="6906" w:type="dxa"/>
            <w:noWrap/>
            <w:vAlign w:val="center"/>
          </w:tcPr>
          <w:p w14:paraId="374D7600">
            <w:pPr>
              <w:spacing w:line="300" w:lineRule="exact"/>
              <w:jc w:val="center"/>
              <w:rPr>
                <w:rFonts w:ascii="宋体" w:hAnsi="宋体"/>
                <w:b/>
                <w:color w:val="auto"/>
                <w:sz w:val="21"/>
                <w:szCs w:val="21"/>
              </w:rPr>
            </w:pPr>
            <w:r>
              <w:rPr>
                <w:rFonts w:hint="eastAsia" w:ascii="宋体" w:hAnsi="宋体"/>
                <w:b/>
                <w:color w:val="auto"/>
                <w:sz w:val="21"/>
                <w:szCs w:val="21"/>
              </w:rPr>
              <w:t>内                容</w:t>
            </w:r>
          </w:p>
        </w:tc>
      </w:tr>
      <w:tr w14:paraId="7AE283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ign w:val="center"/>
          </w:tcPr>
          <w:p w14:paraId="1EAAB4F5">
            <w:pPr>
              <w:spacing w:line="300" w:lineRule="exact"/>
              <w:jc w:val="center"/>
              <w:rPr>
                <w:rFonts w:ascii="宋体" w:hAnsi="宋体"/>
                <w:color w:val="auto"/>
                <w:sz w:val="24"/>
              </w:rPr>
            </w:pPr>
            <w:r>
              <w:rPr>
                <w:rFonts w:hint="eastAsia" w:ascii="宋体" w:hAnsi="宋体"/>
                <w:color w:val="auto"/>
                <w:sz w:val="24"/>
              </w:rPr>
              <w:t>1</w:t>
            </w:r>
          </w:p>
        </w:tc>
        <w:tc>
          <w:tcPr>
            <w:tcW w:w="2019" w:type="dxa"/>
            <w:noWrap/>
            <w:vAlign w:val="center"/>
          </w:tcPr>
          <w:p w14:paraId="2813C922">
            <w:pPr>
              <w:spacing w:line="300" w:lineRule="exact"/>
              <w:jc w:val="center"/>
              <w:rPr>
                <w:rFonts w:ascii="宋体" w:hAnsi="宋体"/>
                <w:bCs/>
                <w:color w:val="auto"/>
                <w:sz w:val="21"/>
                <w:szCs w:val="21"/>
              </w:rPr>
            </w:pPr>
            <w:r>
              <w:rPr>
                <w:rFonts w:hint="eastAsia" w:ascii="宋体" w:hAnsi="宋体"/>
                <w:bCs/>
                <w:color w:val="auto"/>
                <w:sz w:val="21"/>
                <w:szCs w:val="21"/>
              </w:rPr>
              <w:t>项目名称</w:t>
            </w:r>
          </w:p>
        </w:tc>
        <w:tc>
          <w:tcPr>
            <w:tcW w:w="6906" w:type="dxa"/>
            <w:noWrap/>
            <w:vAlign w:val="center"/>
          </w:tcPr>
          <w:p w14:paraId="086647E6">
            <w:pPr>
              <w:spacing w:line="300" w:lineRule="exact"/>
              <w:ind w:left="-4" w:leftChars="-1" w:firstLine="2" w:firstLineChars="1"/>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北城办事处改造工程</w:t>
            </w:r>
          </w:p>
        </w:tc>
      </w:tr>
      <w:tr w14:paraId="4B869B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ign w:val="center"/>
          </w:tcPr>
          <w:p w14:paraId="7CFBB092">
            <w:pPr>
              <w:spacing w:line="300" w:lineRule="exact"/>
              <w:jc w:val="center"/>
              <w:rPr>
                <w:rFonts w:ascii="宋体" w:hAnsi="宋体"/>
                <w:color w:val="auto"/>
                <w:sz w:val="24"/>
              </w:rPr>
            </w:pPr>
            <w:r>
              <w:rPr>
                <w:rFonts w:hint="eastAsia" w:ascii="宋体" w:hAnsi="宋体"/>
                <w:color w:val="auto"/>
                <w:sz w:val="24"/>
              </w:rPr>
              <w:t>2</w:t>
            </w:r>
          </w:p>
        </w:tc>
        <w:tc>
          <w:tcPr>
            <w:tcW w:w="2019" w:type="dxa"/>
            <w:noWrap/>
            <w:vAlign w:val="center"/>
          </w:tcPr>
          <w:p w14:paraId="5CAB1E45">
            <w:pPr>
              <w:spacing w:line="300" w:lineRule="exact"/>
              <w:jc w:val="center"/>
              <w:rPr>
                <w:rFonts w:ascii="宋体" w:hAnsi="宋体"/>
                <w:bCs/>
                <w:color w:val="auto"/>
                <w:sz w:val="21"/>
                <w:szCs w:val="21"/>
              </w:rPr>
            </w:pPr>
            <w:r>
              <w:rPr>
                <w:rFonts w:hint="eastAsia" w:ascii="宋体" w:hAnsi="宋体"/>
                <w:bCs/>
                <w:color w:val="auto"/>
                <w:sz w:val="21"/>
                <w:szCs w:val="21"/>
              </w:rPr>
              <w:t>采购内容</w:t>
            </w:r>
          </w:p>
        </w:tc>
        <w:tc>
          <w:tcPr>
            <w:tcW w:w="6906" w:type="dxa"/>
            <w:noWrap/>
            <w:vAlign w:val="center"/>
          </w:tcPr>
          <w:p w14:paraId="24F82DC2">
            <w:pPr>
              <w:spacing w:line="300" w:lineRule="exact"/>
              <w:ind w:left="-4" w:leftChars="-1" w:firstLine="2" w:firstLineChars="1"/>
              <w:rPr>
                <w:rFonts w:ascii="宋体" w:hAnsi="宋体"/>
                <w:bCs/>
                <w:color w:val="auto"/>
                <w:sz w:val="21"/>
                <w:szCs w:val="21"/>
              </w:rPr>
            </w:pPr>
            <w:r>
              <w:rPr>
                <w:rFonts w:hint="eastAsia" w:ascii="宋体" w:hAnsi="宋体"/>
                <w:bCs/>
                <w:color w:val="auto"/>
                <w:sz w:val="21"/>
                <w:szCs w:val="21"/>
              </w:rPr>
              <w:t>详见本磋商响应文件“第二部分采购需求”内容</w:t>
            </w:r>
          </w:p>
        </w:tc>
      </w:tr>
      <w:tr w14:paraId="09FFD9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ign w:val="center"/>
          </w:tcPr>
          <w:p w14:paraId="6308F458">
            <w:pPr>
              <w:spacing w:line="300" w:lineRule="exact"/>
              <w:jc w:val="center"/>
              <w:rPr>
                <w:rFonts w:ascii="宋体" w:hAnsi="宋体"/>
                <w:color w:val="auto"/>
                <w:sz w:val="24"/>
              </w:rPr>
            </w:pPr>
            <w:r>
              <w:rPr>
                <w:rFonts w:hint="eastAsia" w:ascii="宋体" w:hAnsi="宋体"/>
                <w:color w:val="auto"/>
                <w:sz w:val="24"/>
              </w:rPr>
              <w:t>3</w:t>
            </w:r>
          </w:p>
        </w:tc>
        <w:tc>
          <w:tcPr>
            <w:tcW w:w="2019" w:type="dxa"/>
            <w:noWrap/>
            <w:vAlign w:val="center"/>
          </w:tcPr>
          <w:p w14:paraId="24C4D3CE">
            <w:pPr>
              <w:spacing w:line="300" w:lineRule="exact"/>
              <w:jc w:val="center"/>
              <w:rPr>
                <w:rFonts w:ascii="宋体" w:hAnsi="宋体"/>
                <w:bCs/>
                <w:color w:val="auto"/>
                <w:sz w:val="21"/>
                <w:szCs w:val="21"/>
              </w:rPr>
            </w:pPr>
            <w:r>
              <w:rPr>
                <w:rFonts w:hint="eastAsia" w:ascii="宋体" w:hAnsi="宋体"/>
                <w:bCs/>
                <w:color w:val="auto"/>
                <w:sz w:val="21"/>
                <w:szCs w:val="21"/>
              </w:rPr>
              <w:t>采购方式</w:t>
            </w:r>
          </w:p>
        </w:tc>
        <w:tc>
          <w:tcPr>
            <w:tcW w:w="6906" w:type="dxa"/>
            <w:noWrap/>
            <w:vAlign w:val="center"/>
          </w:tcPr>
          <w:p w14:paraId="2D6683D6">
            <w:pPr>
              <w:spacing w:line="300" w:lineRule="exact"/>
              <w:rPr>
                <w:rFonts w:ascii="宋体" w:hAnsi="宋体" w:eastAsia="宋体"/>
                <w:bCs/>
                <w:color w:val="auto"/>
                <w:sz w:val="21"/>
                <w:szCs w:val="21"/>
              </w:rPr>
            </w:pPr>
            <w:r>
              <w:rPr>
                <w:rFonts w:hint="eastAsia" w:ascii="宋体" w:hAnsi="宋体"/>
                <w:bCs/>
                <w:color w:val="auto"/>
                <w:sz w:val="21"/>
                <w:szCs w:val="21"/>
              </w:rPr>
              <w:t>竞争性磋商</w:t>
            </w:r>
          </w:p>
        </w:tc>
      </w:tr>
      <w:tr w14:paraId="7D4356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38" w:type="dxa"/>
            <w:noWrap/>
            <w:vAlign w:val="center"/>
          </w:tcPr>
          <w:p w14:paraId="05602974">
            <w:pPr>
              <w:spacing w:line="300" w:lineRule="exact"/>
              <w:jc w:val="center"/>
              <w:rPr>
                <w:rFonts w:ascii="宋体" w:hAnsi="宋体"/>
                <w:color w:val="auto"/>
                <w:sz w:val="24"/>
              </w:rPr>
            </w:pPr>
            <w:r>
              <w:rPr>
                <w:rFonts w:hint="eastAsia" w:ascii="宋体" w:hAnsi="宋体"/>
                <w:color w:val="auto"/>
                <w:sz w:val="24"/>
              </w:rPr>
              <w:t>4</w:t>
            </w:r>
          </w:p>
        </w:tc>
        <w:tc>
          <w:tcPr>
            <w:tcW w:w="2019" w:type="dxa"/>
            <w:noWrap/>
            <w:vAlign w:val="center"/>
          </w:tcPr>
          <w:p w14:paraId="5B972A16">
            <w:pPr>
              <w:spacing w:line="300" w:lineRule="exact"/>
              <w:jc w:val="center"/>
              <w:rPr>
                <w:rFonts w:hint="eastAsia" w:ascii="宋体" w:hAnsi="宋体" w:cs="Times New Roman"/>
                <w:bCs/>
                <w:color w:val="auto"/>
                <w:sz w:val="21"/>
                <w:szCs w:val="21"/>
              </w:rPr>
            </w:pPr>
            <w:r>
              <w:rPr>
                <w:rFonts w:hint="eastAsia" w:ascii="宋体" w:hAnsi="宋体" w:cs="Times New Roman"/>
                <w:bCs/>
                <w:color w:val="auto"/>
                <w:sz w:val="21"/>
                <w:szCs w:val="21"/>
              </w:rPr>
              <w:t>▲服务期限</w:t>
            </w:r>
          </w:p>
        </w:tc>
        <w:tc>
          <w:tcPr>
            <w:tcW w:w="6906" w:type="dxa"/>
            <w:noWrap/>
            <w:vAlign w:val="center"/>
          </w:tcPr>
          <w:p w14:paraId="11C1842A">
            <w:pPr>
              <w:spacing w:line="300" w:lineRule="exact"/>
              <w:ind w:left="-4" w:leftChars="-1" w:firstLine="2" w:firstLineChars="1"/>
              <w:rPr>
                <w:rFonts w:ascii="宋体" w:hAnsi="宋体" w:eastAsia="宋体"/>
                <w:bCs/>
                <w:color w:val="auto"/>
                <w:sz w:val="21"/>
                <w:szCs w:val="21"/>
              </w:rPr>
            </w:pPr>
            <w:r>
              <w:rPr>
                <w:rFonts w:hint="eastAsia" w:ascii="宋体" w:hAnsi="宋体" w:eastAsia="宋体" w:cs="宋体"/>
                <w:color w:val="auto"/>
                <w:sz w:val="21"/>
                <w:szCs w:val="21"/>
                <w:lang w:val="en-US" w:eastAsia="zh-CN"/>
              </w:rPr>
              <w:t>不超过60日历天</w:t>
            </w:r>
            <w:r>
              <w:rPr>
                <w:rFonts w:hint="eastAsia" w:ascii="宋体" w:hAnsi="宋体" w:eastAsia="宋体" w:cs="宋体"/>
                <w:color w:val="auto"/>
                <w:sz w:val="21"/>
                <w:szCs w:val="21"/>
              </w:rPr>
              <w:t>。</w:t>
            </w:r>
          </w:p>
        </w:tc>
      </w:tr>
      <w:tr w14:paraId="22F41A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noWrap/>
            <w:vAlign w:val="center"/>
          </w:tcPr>
          <w:p w14:paraId="7024503A">
            <w:pPr>
              <w:spacing w:line="300" w:lineRule="exact"/>
              <w:jc w:val="center"/>
              <w:rPr>
                <w:rFonts w:ascii="宋体" w:hAnsi="宋体" w:eastAsia="宋体"/>
                <w:color w:val="auto"/>
                <w:sz w:val="24"/>
              </w:rPr>
            </w:pPr>
            <w:r>
              <w:rPr>
                <w:rFonts w:hint="eastAsia" w:ascii="宋体" w:hAnsi="宋体"/>
                <w:color w:val="auto"/>
                <w:sz w:val="24"/>
              </w:rPr>
              <w:t>5</w:t>
            </w:r>
          </w:p>
        </w:tc>
        <w:tc>
          <w:tcPr>
            <w:tcW w:w="2019" w:type="dxa"/>
            <w:noWrap/>
            <w:vAlign w:val="center"/>
          </w:tcPr>
          <w:p w14:paraId="35997245">
            <w:pPr>
              <w:spacing w:line="300" w:lineRule="exact"/>
              <w:jc w:val="center"/>
              <w:rPr>
                <w:rFonts w:hint="eastAsia" w:ascii="宋体" w:hAnsi="宋体" w:cs="Times New Roman"/>
                <w:bCs/>
                <w:color w:val="auto"/>
                <w:sz w:val="21"/>
                <w:szCs w:val="21"/>
              </w:rPr>
            </w:pPr>
            <w:r>
              <w:rPr>
                <w:rFonts w:hint="eastAsia" w:ascii="宋体" w:hAnsi="宋体" w:cs="Times New Roman"/>
                <w:bCs/>
                <w:color w:val="auto"/>
                <w:sz w:val="21"/>
                <w:szCs w:val="21"/>
              </w:rPr>
              <w:t>评标办法</w:t>
            </w:r>
          </w:p>
        </w:tc>
        <w:tc>
          <w:tcPr>
            <w:tcW w:w="6906" w:type="dxa"/>
            <w:noWrap/>
            <w:vAlign w:val="center"/>
          </w:tcPr>
          <w:p w14:paraId="766E75DA">
            <w:pPr>
              <w:spacing w:line="300" w:lineRule="exact"/>
              <w:jc w:val="left"/>
              <w:rPr>
                <w:rFonts w:ascii="宋体" w:hAnsi="宋体"/>
                <w:color w:val="auto"/>
                <w:sz w:val="21"/>
                <w:szCs w:val="21"/>
              </w:rPr>
            </w:pPr>
            <w:r>
              <w:rPr>
                <w:rFonts w:hint="eastAsia" w:ascii="宋体" w:hAnsi="宋体" w:cs="Arial"/>
                <w:bCs/>
                <w:color w:val="auto"/>
                <w:kern w:val="0"/>
                <w:sz w:val="21"/>
                <w:szCs w:val="21"/>
              </w:rPr>
              <w:t>综合评分法</w:t>
            </w:r>
          </w:p>
        </w:tc>
      </w:tr>
      <w:tr w14:paraId="77B108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noWrap/>
            <w:vAlign w:val="center"/>
          </w:tcPr>
          <w:p w14:paraId="1FFC466F">
            <w:pPr>
              <w:spacing w:line="300" w:lineRule="exact"/>
              <w:jc w:val="center"/>
              <w:rPr>
                <w:rFonts w:ascii="宋体" w:hAnsi="宋体" w:eastAsia="宋体"/>
                <w:color w:val="auto"/>
                <w:sz w:val="24"/>
              </w:rPr>
            </w:pPr>
            <w:r>
              <w:rPr>
                <w:rFonts w:hint="eastAsia" w:ascii="宋体" w:hAnsi="宋体"/>
                <w:color w:val="auto"/>
                <w:sz w:val="24"/>
              </w:rPr>
              <w:t>6</w:t>
            </w:r>
          </w:p>
        </w:tc>
        <w:tc>
          <w:tcPr>
            <w:tcW w:w="2019" w:type="dxa"/>
            <w:noWrap/>
            <w:vAlign w:val="center"/>
          </w:tcPr>
          <w:p w14:paraId="29F68D27">
            <w:pPr>
              <w:spacing w:line="300" w:lineRule="exact"/>
              <w:jc w:val="center"/>
              <w:rPr>
                <w:rFonts w:hint="eastAsia" w:ascii="宋体" w:hAnsi="宋体" w:cs="Times New Roman"/>
                <w:bCs/>
                <w:color w:val="auto"/>
                <w:sz w:val="21"/>
                <w:szCs w:val="21"/>
              </w:rPr>
            </w:pPr>
            <w:r>
              <w:rPr>
                <w:rFonts w:hint="eastAsia" w:ascii="宋体" w:hAnsi="宋体" w:cs="Times New Roman"/>
                <w:bCs/>
                <w:color w:val="auto"/>
                <w:sz w:val="21"/>
                <w:szCs w:val="21"/>
              </w:rPr>
              <w:t>磋商响应文件有效期</w:t>
            </w:r>
          </w:p>
        </w:tc>
        <w:tc>
          <w:tcPr>
            <w:tcW w:w="6906" w:type="dxa"/>
            <w:noWrap/>
            <w:vAlign w:val="center"/>
          </w:tcPr>
          <w:p w14:paraId="69E86C82">
            <w:pPr>
              <w:pStyle w:val="23"/>
              <w:snapToGrid w:val="0"/>
              <w:spacing w:line="300" w:lineRule="exact"/>
              <w:rPr>
                <w:rFonts w:hint="default"/>
                <w:bCs/>
                <w:color w:val="auto"/>
                <w:sz w:val="21"/>
                <w:szCs w:val="21"/>
              </w:rPr>
            </w:pPr>
            <w:r>
              <w:rPr>
                <w:bCs/>
                <w:color w:val="auto"/>
                <w:sz w:val="21"/>
                <w:szCs w:val="21"/>
              </w:rPr>
              <w:t>磋商响应有效期为90天，磋商响应有效期从提交磋商响应文件的截止之日起算。</w:t>
            </w:r>
          </w:p>
        </w:tc>
      </w:tr>
      <w:tr w14:paraId="1FBB70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ign w:val="center"/>
          </w:tcPr>
          <w:p w14:paraId="1BECF8DC">
            <w:pPr>
              <w:spacing w:line="300" w:lineRule="exact"/>
              <w:jc w:val="center"/>
              <w:rPr>
                <w:rFonts w:ascii="宋体" w:hAnsi="宋体" w:eastAsia="宋体"/>
                <w:color w:val="auto"/>
                <w:sz w:val="24"/>
              </w:rPr>
            </w:pPr>
            <w:r>
              <w:rPr>
                <w:rFonts w:hint="eastAsia" w:ascii="宋体" w:hAnsi="宋体"/>
                <w:color w:val="auto"/>
                <w:sz w:val="24"/>
              </w:rPr>
              <w:t>7</w:t>
            </w:r>
          </w:p>
        </w:tc>
        <w:tc>
          <w:tcPr>
            <w:tcW w:w="2019" w:type="dxa"/>
            <w:noWrap/>
            <w:vAlign w:val="center"/>
          </w:tcPr>
          <w:p w14:paraId="782251A7">
            <w:pPr>
              <w:spacing w:line="300" w:lineRule="exact"/>
              <w:jc w:val="center"/>
              <w:rPr>
                <w:rFonts w:hint="eastAsia" w:ascii="宋体" w:hAnsi="宋体" w:cs="Times New Roman"/>
                <w:bCs/>
                <w:color w:val="auto"/>
                <w:sz w:val="21"/>
                <w:szCs w:val="21"/>
              </w:rPr>
            </w:pPr>
            <w:r>
              <w:rPr>
                <w:rFonts w:hint="eastAsia" w:ascii="宋体" w:hAnsi="宋体" w:cs="Times New Roman"/>
                <w:bCs/>
                <w:color w:val="auto"/>
                <w:sz w:val="21"/>
                <w:szCs w:val="21"/>
              </w:rPr>
              <w:t>履约保证金</w:t>
            </w:r>
          </w:p>
        </w:tc>
        <w:tc>
          <w:tcPr>
            <w:tcW w:w="6906" w:type="dxa"/>
            <w:noWrap/>
            <w:vAlign w:val="center"/>
          </w:tcPr>
          <w:p w14:paraId="15217B40">
            <w:pPr>
              <w:spacing w:line="300" w:lineRule="exact"/>
              <w:jc w:val="left"/>
              <w:rPr>
                <w:rFonts w:ascii="宋体" w:hAnsi="宋体" w:eastAsia="宋体"/>
                <w:color w:val="auto"/>
                <w:sz w:val="21"/>
                <w:szCs w:val="21"/>
              </w:rPr>
            </w:pPr>
            <w:r>
              <w:rPr>
                <w:rFonts w:hint="eastAsia" w:ascii="宋体" w:hAnsi="宋体"/>
                <w:color w:val="auto"/>
                <w:sz w:val="21"/>
                <w:szCs w:val="21"/>
              </w:rPr>
              <w:t>本项目履约保证金为</w:t>
            </w:r>
            <w:r>
              <w:rPr>
                <w:rFonts w:hint="eastAsia" w:ascii="宋体" w:hAnsi="宋体" w:eastAsia="宋体"/>
                <w:color w:val="auto"/>
                <w:sz w:val="21"/>
                <w:szCs w:val="21"/>
                <w:lang w:eastAsia="zh-CN"/>
              </w:rPr>
              <w:t>合同价的1%</w:t>
            </w:r>
            <w:r>
              <w:rPr>
                <w:rFonts w:hint="eastAsia" w:ascii="宋体" w:hAnsi="宋体"/>
                <w:color w:val="auto"/>
                <w:sz w:val="21"/>
                <w:szCs w:val="21"/>
              </w:rPr>
              <w:t>。</w:t>
            </w:r>
          </w:p>
          <w:p w14:paraId="6640A836">
            <w:pPr>
              <w:spacing w:line="300" w:lineRule="exact"/>
              <w:jc w:val="left"/>
              <w:rPr>
                <w:rFonts w:ascii="宋体" w:hAnsi="宋体"/>
                <w:color w:val="auto"/>
                <w:sz w:val="21"/>
                <w:szCs w:val="21"/>
              </w:rPr>
            </w:pPr>
            <w:r>
              <w:rPr>
                <w:rFonts w:hint="eastAsia" w:ascii="宋体" w:hAnsi="宋体"/>
                <w:color w:val="auto"/>
                <w:sz w:val="21"/>
                <w:szCs w:val="21"/>
              </w:rPr>
              <w:t>鼓励供应商开展政采贷、履约保函等政府采购金融服务，供应商以银行、保险公司</w:t>
            </w:r>
            <w:r>
              <w:rPr>
                <w:rFonts w:hint="eastAsia" w:ascii="宋体" w:hAnsi="宋体" w:eastAsia="宋体"/>
                <w:color w:val="auto"/>
                <w:sz w:val="21"/>
                <w:szCs w:val="21"/>
                <w:lang w:eastAsia="zh-CN"/>
              </w:rPr>
              <w:t>、融资担保公司</w:t>
            </w:r>
            <w:r>
              <w:rPr>
                <w:rFonts w:hint="eastAsia" w:ascii="宋体" w:hAnsi="宋体"/>
                <w:color w:val="auto"/>
                <w:sz w:val="21"/>
                <w:szCs w:val="21"/>
              </w:rPr>
              <w:t>出具保函形式提交履约保证金的，采购单位不得拒收。</w:t>
            </w:r>
          </w:p>
        </w:tc>
      </w:tr>
      <w:tr w14:paraId="06036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738" w:type="dxa"/>
            <w:noWrap/>
            <w:vAlign w:val="center"/>
          </w:tcPr>
          <w:p w14:paraId="5FD4EF76">
            <w:pPr>
              <w:spacing w:line="300" w:lineRule="exact"/>
              <w:jc w:val="center"/>
              <w:rPr>
                <w:rFonts w:ascii="宋体" w:hAnsi="宋体"/>
                <w:color w:val="auto"/>
                <w:sz w:val="21"/>
                <w:szCs w:val="21"/>
              </w:rPr>
            </w:pPr>
            <w:r>
              <w:rPr>
                <w:rFonts w:hint="eastAsia" w:ascii="宋体" w:hAnsi="宋体"/>
                <w:color w:val="auto"/>
                <w:sz w:val="21"/>
                <w:szCs w:val="21"/>
              </w:rPr>
              <w:t>8</w:t>
            </w:r>
          </w:p>
        </w:tc>
        <w:tc>
          <w:tcPr>
            <w:tcW w:w="2019" w:type="dxa"/>
            <w:noWrap/>
            <w:vAlign w:val="center"/>
          </w:tcPr>
          <w:p w14:paraId="055547E7">
            <w:pPr>
              <w:spacing w:line="300" w:lineRule="exact"/>
              <w:jc w:val="center"/>
              <w:rPr>
                <w:rFonts w:ascii="宋体" w:hAnsi="宋体"/>
                <w:color w:val="auto"/>
                <w:sz w:val="21"/>
                <w:szCs w:val="21"/>
              </w:rPr>
            </w:pPr>
            <w:r>
              <w:rPr>
                <w:rFonts w:hint="eastAsia" w:ascii="宋体" w:hAnsi="宋体"/>
                <w:color w:val="auto"/>
                <w:sz w:val="21"/>
                <w:szCs w:val="21"/>
              </w:rPr>
              <w:t>磋商响应文件递交</w:t>
            </w:r>
          </w:p>
        </w:tc>
        <w:tc>
          <w:tcPr>
            <w:tcW w:w="6906" w:type="dxa"/>
            <w:noWrap/>
            <w:vAlign w:val="center"/>
          </w:tcPr>
          <w:p w14:paraId="491EAC45">
            <w:pPr>
              <w:spacing w:line="300" w:lineRule="exact"/>
              <w:ind w:firstLine="420" w:firstLineChars="200"/>
              <w:jc w:val="left"/>
              <w:rPr>
                <w:rFonts w:ascii="宋体" w:hAnsi="宋体"/>
                <w:color w:val="auto"/>
                <w:sz w:val="21"/>
                <w:szCs w:val="21"/>
              </w:rPr>
            </w:pPr>
            <w:r>
              <w:rPr>
                <w:rFonts w:hint="eastAsia" w:ascii="宋体" w:hAnsi="宋体"/>
                <w:color w:val="auto"/>
                <w:sz w:val="21"/>
                <w:szCs w:val="21"/>
              </w:rPr>
              <w:t>本项目实行电子投标，供应商应准备电子投标文件、备份投标文件（如有）两类。</w:t>
            </w:r>
          </w:p>
          <w:p w14:paraId="6CA2F0A9">
            <w:pPr>
              <w:spacing w:line="300" w:lineRule="exact"/>
              <w:ind w:firstLine="420" w:firstLineChars="200"/>
              <w:jc w:val="left"/>
              <w:rPr>
                <w:rFonts w:ascii="宋体" w:hAnsi="宋体"/>
                <w:color w:val="auto"/>
                <w:sz w:val="21"/>
                <w:szCs w:val="21"/>
              </w:rPr>
            </w:pPr>
            <w:r>
              <w:rPr>
                <w:rFonts w:hint="eastAsia" w:ascii="宋体" w:hAnsi="宋体"/>
                <w:color w:val="auto"/>
                <w:sz w:val="21"/>
                <w:szCs w:val="21"/>
              </w:rPr>
              <w:t>1.电子投标文件，按政采云平台项目采购--电子招投标操作指南及本磋商文件要求编制、</w:t>
            </w:r>
            <w:r>
              <w:rPr>
                <w:rFonts w:hint="eastAsia" w:ascii="宋体" w:hAnsi="宋体" w:eastAsia="宋体"/>
                <w:color w:val="auto"/>
                <w:sz w:val="21"/>
                <w:szCs w:val="21"/>
                <w:lang w:eastAsia="zh-CN"/>
              </w:rPr>
              <w:t>提交</w:t>
            </w:r>
            <w:r>
              <w:rPr>
                <w:rFonts w:hint="eastAsia" w:ascii="宋体" w:hAnsi="宋体"/>
                <w:color w:val="auto"/>
                <w:sz w:val="21"/>
                <w:szCs w:val="21"/>
              </w:rPr>
              <w:t>。</w:t>
            </w:r>
          </w:p>
          <w:p w14:paraId="4C88AF42">
            <w:pPr>
              <w:spacing w:line="300" w:lineRule="exact"/>
              <w:ind w:firstLine="420" w:firstLineChars="200"/>
              <w:jc w:val="left"/>
              <w:rPr>
                <w:rFonts w:ascii="宋体" w:hAnsi="宋体"/>
                <w:color w:val="auto"/>
                <w:sz w:val="21"/>
                <w:szCs w:val="21"/>
              </w:rPr>
            </w:pPr>
            <w:r>
              <w:rPr>
                <w:rFonts w:hint="eastAsia" w:ascii="宋体" w:hAnsi="宋体"/>
                <w:color w:val="auto"/>
                <w:sz w:val="21"/>
                <w:szCs w:val="21"/>
              </w:rPr>
              <w:t>2. 以介质（U盘）存储的数据电文形式的备份投标文件，按政采云平台项目采购-电子招投标操作指南中上传的电子投标文件格式，以U盘形式提供。数量为1份。</w:t>
            </w:r>
          </w:p>
          <w:p w14:paraId="107F5F9D">
            <w:pPr>
              <w:spacing w:line="300" w:lineRule="exact"/>
              <w:ind w:firstLine="420" w:firstLineChars="200"/>
              <w:jc w:val="left"/>
              <w:rPr>
                <w:rFonts w:ascii="宋体" w:hAnsi="宋体"/>
                <w:color w:val="auto"/>
                <w:sz w:val="21"/>
                <w:szCs w:val="21"/>
              </w:rPr>
            </w:pPr>
            <w:r>
              <w:rPr>
                <w:rFonts w:hint="eastAsia" w:ascii="宋体" w:hAnsi="宋体"/>
                <w:color w:val="auto"/>
                <w:sz w:val="21"/>
                <w:szCs w:val="21"/>
              </w:rPr>
              <w:t>3.投标文件启用顺序和效力：投标文件的启用，按先后顺位分别为电子投标文件、以介质（U盘）存储的数据电文形式的备份投标文件。顺位在先的投标文件已按时解密的，备份投标文件自动失效。在下一顺位的投标文件启用时，前一顺位的投标文件自动失效。</w:t>
            </w:r>
          </w:p>
          <w:p w14:paraId="2A56807B">
            <w:pPr>
              <w:spacing w:line="300" w:lineRule="exact"/>
              <w:ind w:firstLine="420" w:firstLineChars="200"/>
              <w:jc w:val="left"/>
              <w:rPr>
                <w:rFonts w:ascii="宋体" w:hAnsi="宋体"/>
                <w:color w:val="auto"/>
                <w:sz w:val="21"/>
                <w:szCs w:val="21"/>
              </w:rPr>
            </w:pPr>
            <w:r>
              <w:rPr>
                <w:rFonts w:hint="eastAsia" w:ascii="宋体" w:hAnsi="宋体" w:eastAsia="宋体"/>
                <w:color w:val="auto"/>
                <w:sz w:val="21"/>
                <w:szCs w:val="21"/>
                <w:lang w:val="en-US" w:eastAsia="zh-CN"/>
              </w:rPr>
              <w:t>4</w:t>
            </w:r>
            <w:r>
              <w:rPr>
                <w:rFonts w:hint="eastAsia" w:ascii="宋体" w:hAnsi="宋体"/>
                <w:color w:val="auto"/>
                <w:sz w:val="21"/>
                <w:szCs w:val="21"/>
              </w:rPr>
              <w:t>.▲未传输递交电子投标文件的，投标无效。未按规定提供相应的备份投标文件，造成项目开评标活动无法进行下去的，投标无效。</w:t>
            </w:r>
          </w:p>
        </w:tc>
      </w:tr>
      <w:tr w14:paraId="52DED7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38" w:type="dxa"/>
            <w:noWrap/>
            <w:vAlign w:val="center"/>
          </w:tcPr>
          <w:p w14:paraId="0CA2ABD1">
            <w:pPr>
              <w:spacing w:line="300" w:lineRule="exact"/>
              <w:jc w:val="center"/>
              <w:rPr>
                <w:rFonts w:ascii="宋体" w:hAnsi="宋体" w:eastAsiaTheme="minorEastAsia"/>
                <w:color w:val="auto"/>
                <w:sz w:val="24"/>
              </w:rPr>
            </w:pPr>
            <w:r>
              <w:rPr>
                <w:rFonts w:hint="eastAsia" w:ascii="宋体" w:hAnsi="宋体" w:eastAsiaTheme="minorEastAsia"/>
                <w:color w:val="auto"/>
                <w:sz w:val="24"/>
              </w:rPr>
              <w:t>9</w:t>
            </w:r>
          </w:p>
        </w:tc>
        <w:tc>
          <w:tcPr>
            <w:tcW w:w="2019" w:type="dxa"/>
            <w:noWrap/>
            <w:vAlign w:val="center"/>
          </w:tcPr>
          <w:p w14:paraId="68E04385">
            <w:pPr>
              <w:spacing w:line="300" w:lineRule="exact"/>
              <w:jc w:val="center"/>
              <w:rPr>
                <w:rFonts w:ascii="宋体" w:hAnsi="宋体"/>
                <w:color w:val="auto"/>
                <w:sz w:val="21"/>
                <w:szCs w:val="21"/>
              </w:rPr>
            </w:pPr>
            <w:r>
              <w:rPr>
                <w:rFonts w:hint="eastAsia" w:ascii="宋体" w:hAnsi="宋体"/>
                <w:bCs/>
                <w:color w:val="auto"/>
                <w:sz w:val="21"/>
                <w:szCs w:val="21"/>
              </w:rPr>
              <w:t>▲响应文件磋商截止时间</w:t>
            </w:r>
          </w:p>
        </w:tc>
        <w:tc>
          <w:tcPr>
            <w:tcW w:w="6906" w:type="dxa"/>
            <w:noWrap/>
            <w:vAlign w:val="center"/>
          </w:tcPr>
          <w:p w14:paraId="2FB81C88">
            <w:pPr>
              <w:spacing w:line="300" w:lineRule="exact"/>
              <w:rPr>
                <w:color w:val="auto"/>
              </w:rPr>
            </w:pPr>
            <w:r>
              <w:rPr>
                <w:rFonts w:hint="eastAsia" w:ascii="宋体" w:hAnsi="宋体" w:eastAsia="宋体" w:cs="宋体"/>
                <w:color w:val="auto"/>
                <w:sz w:val="21"/>
                <w:szCs w:val="21"/>
              </w:rPr>
              <w:t>供应商应当在</w:t>
            </w:r>
            <w:r>
              <w:rPr>
                <w:rFonts w:hint="eastAsia" w:ascii="宋体" w:hAnsi="宋体" w:eastAsia="宋体" w:cs="宋体"/>
                <w:b/>
                <w:bCs/>
                <w:color w:val="auto"/>
                <w:sz w:val="21"/>
                <w:szCs w:val="21"/>
              </w:rPr>
              <w:t>磋商截止时间：</w:t>
            </w:r>
            <w:r>
              <w:rPr>
                <w:rFonts w:hint="eastAsia" w:ascii="宋体" w:hAnsi="宋体" w:eastAsia="宋体" w:cs="宋体"/>
                <w:b/>
                <w:bCs/>
                <w:color w:val="auto"/>
                <w:sz w:val="21"/>
                <w:szCs w:val="21"/>
                <w:lang w:eastAsia="zh-CN"/>
              </w:rPr>
              <w:t>2025年 月 日14:</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eastAsia="zh-CN"/>
              </w:rPr>
              <w:t>0</w:t>
            </w:r>
            <w:r>
              <w:rPr>
                <w:rFonts w:hint="eastAsia" w:ascii="宋体" w:hAnsi="宋体" w:eastAsia="宋体" w:cs="宋体"/>
                <w:b/>
                <w:bCs/>
                <w:color w:val="auto"/>
                <w:sz w:val="21"/>
                <w:szCs w:val="21"/>
              </w:rPr>
              <w:t>（北京时间）前</w:t>
            </w:r>
            <w:r>
              <w:rPr>
                <w:rFonts w:hint="eastAsia" w:ascii="宋体" w:hAnsi="宋体" w:eastAsia="宋体" w:cs="宋体"/>
                <w:color w:val="auto"/>
                <w:sz w:val="21"/>
                <w:szCs w:val="21"/>
              </w:rPr>
              <w:t>完成电子响应文件的传输提交，磋商截止时间前可以补充、修改或者撤回电子磋商响应文件。补充或者修改电子磋商响应文件的，应当先行撤回原文件，补充、修改后重新传输提交。磋商截止时间前未完成传输的，视为撤回电子磋商响应文件。</w:t>
            </w:r>
          </w:p>
        </w:tc>
      </w:tr>
      <w:tr w14:paraId="23E4F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ign w:val="center"/>
          </w:tcPr>
          <w:p w14:paraId="5DE812E2">
            <w:pPr>
              <w:spacing w:line="300" w:lineRule="exact"/>
              <w:jc w:val="center"/>
              <w:rPr>
                <w:rFonts w:ascii="宋体" w:hAnsi="宋体" w:eastAsiaTheme="minorEastAsia"/>
                <w:color w:val="auto"/>
                <w:sz w:val="24"/>
              </w:rPr>
            </w:pPr>
            <w:r>
              <w:rPr>
                <w:rFonts w:hint="eastAsia" w:ascii="宋体" w:hAnsi="宋体"/>
                <w:color w:val="auto"/>
                <w:sz w:val="24"/>
              </w:rPr>
              <w:t>1</w:t>
            </w:r>
            <w:r>
              <w:rPr>
                <w:rFonts w:hint="eastAsia" w:ascii="宋体" w:hAnsi="宋体" w:eastAsiaTheme="minorEastAsia"/>
                <w:color w:val="auto"/>
                <w:sz w:val="24"/>
              </w:rPr>
              <w:t>0</w:t>
            </w:r>
          </w:p>
        </w:tc>
        <w:tc>
          <w:tcPr>
            <w:tcW w:w="2019" w:type="dxa"/>
            <w:noWrap/>
            <w:vAlign w:val="center"/>
          </w:tcPr>
          <w:p w14:paraId="3114A6BD">
            <w:pPr>
              <w:snapToGrid w:val="0"/>
              <w:spacing w:line="300" w:lineRule="exact"/>
              <w:jc w:val="center"/>
              <w:rPr>
                <w:rFonts w:ascii="宋体" w:hAnsi="宋体"/>
                <w:bCs/>
                <w:color w:val="auto"/>
                <w:sz w:val="21"/>
                <w:szCs w:val="21"/>
              </w:rPr>
            </w:pPr>
            <w:r>
              <w:rPr>
                <w:rFonts w:hint="eastAsia" w:ascii="宋体" w:hAnsi="宋体"/>
                <w:bCs/>
                <w:color w:val="auto"/>
                <w:sz w:val="21"/>
                <w:szCs w:val="21"/>
              </w:rPr>
              <w:t>▲开标时间及地点</w:t>
            </w:r>
          </w:p>
        </w:tc>
        <w:tc>
          <w:tcPr>
            <w:tcW w:w="6906" w:type="dxa"/>
            <w:noWrap/>
            <w:vAlign w:val="center"/>
          </w:tcPr>
          <w:p w14:paraId="6EF9EA7B">
            <w:pPr>
              <w:widowControl/>
              <w:jc w:val="left"/>
              <w:rPr>
                <w:rFonts w:ascii="宋体" w:hAnsi="宋体" w:eastAsia="宋体" w:cs="宋体"/>
                <w:b/>
                <w:bCs/>
                <w:color w:val="auto"/>
                <w:sz w:val="21"/>
                <w:szCs w:val="21"/>
              </w:rPr>
            </w:pPr>
            <w:r>
              <w:rPr>
                <w:rFonts w:hint="eastAsia" w:ascii="宋体" w:hAnsi="宋体" w:cs="宋体"/>
                <w:color w:val="auto"/>
                <w:sz w:val="21"/>
                <w:szCs w:val="21"/>
              </w:rPr>
              <w:t>时间：</w:t>
            </w:r>
            <w:r>
              <w:rPr>
                <w:rFonts w:hint="eastAsia" w:ascii="宋体" w:hAnsi="宋体" w:eastAsia="宋体" w:cs="宋体"/>
                <w:b/>
                <w:bCs/>
                <w:color w:val="auto"/>
                <w:sz w:val="21"/>
                <w:szCs w:val="21"/>
                <w:lang w:eastAsia="zh-CN"/>
              </w:rPr>
              <w:t>2025年 月 日14:</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eastAsia="zh-CN"/>
              </w:rPr>
              <w:t>0</w:t>
            </w:r>
            <w:r>
              <w:rPr>
                <w:rFonts w:hint="eastAsia" w:ascii="宋体" w:hAnsi="宋体" w:eastAsia="宋体" w:cs="宋体"/>
                <w:b/>
                <w:bCs/>
                <w:color w:val="auto"/>
                <w:sz w:val="21"/>
                <w:szCs w:val="21"/>
              </w:rPr>
              <w:t>（北京时间）</w:t>
            </w:r>
          </w:p>
          <w:p w14:paraId="547D4197">
            <w:pPr>
              <w:widowControl/>
              <w:jc w:val="left"/>
              <w:rPr>
                <w:rFonts w:hint="eastAsia" w:eastAsia="宋体"/>
                <w:color w:val="auto"/>
                <w:sz w:val="21"/>
                <w:szCs w:val="21"/>
                <w:lang w:eastAsia="zh-CN"/>
              </w:rPr>
            </w:pPr>
            <w:r>
              <w:rPr>
                <w:rFonts w:hint="eastAsia" w:ascii="宋体" w:hAnsi="宋体" w:cs="宋体"/>
                <w:color w:val="auto"/>
                <w:sz w:val="21"/>
                <w:szCs w:val="21"/>
              </w:rPr>
              <w:t>地点：</w:t>
            </w:r>
            <w:r>
              <w:rPr>
                <w:rFonts w:hint="eastAsia" w:eastAsia="宋体" w:cs="宋体"/>
                <w:color w:val="auto"/>
                <w:sz w:val="21"/>
                <w:szCs w:val="21"/>
                <w:u w:val="none"/>
              </w:rPr>
              <w:t>网上递交（电子投标文件直接上传平台）</w:t>
            </w:r>
          </w:p>
        </w:tc>
      </w:tr>
      <w:tr w14:paraId="5F0FD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ign w:val="center"/>
          </w:tcPr>
          <w:p w14:paraId="03A4128F">
            <w:pPr>
              <w:spacing w:line="300" w:lineRule="exact"/>
              <w:jc w:val="center"/>
              <w:rPr>
                <w:rFonts w:ascii="宋体" w:hAnsi="宋体" w:eastAsiaTheme="minorEastAsia"/>
                <w:color w:val="auto"/>
                <w:sz w:val="24"/>
              </w:rPr>
            </w:pPr>
            <w:r>
              <w:rPr>
                <w:rFonts w:hint="eastAsia" w:ascii="宋体" w:hAnsi="宋体"/>
                <w:color w:val="auto"/>
                <w:sz w:val="24"/>
              </w:rPr>
              <w:t>1</w:t>
            </w:r>
            <w:r>
              <w:rPr>
                <w:rFonts w:hint="eastAsia" w:ascii="宋体" w:hAnsi="宋体" w:eastAsiaTheme="minorEastAsia"/>
                <w:color w:val="auto"/>
                <w:sz w:val="24"/>
              </w:rPr>
              <w:t>1</w:t>
            </w:r>
          </w:p>
        </w:tc>
        <w:tc>
          <w:tcPr>
            <w:tcW w:w="2019" w:type="dxa"/>
            <w:tcBorders>
              <w:bottom w:val="single" w:color="auto" w:sz="4" w:space="0"/>
            </w:tcBorders>
            <w:noWrap/>
            <w:vAlign w:val="center"/>
          </w:tcPr>
          <w:p w14:paraId="677E6566">
            <w:pPr>
              <w:autoSpaceDE w:val="0"/>
              <w:autoSpaceDN w:val="0"/>
              <w:adjustRightInd w:val="0"/>
              <w:spacing w:line="300" w:lineRule="exact"/>
              <w:jc w:val="center"/>
              <w:rPr>
                <w:rFonts w:ascii="宋体" w:hAnsi="宋体"/>
                <w:b/>
                <w:color w:val="auto"/>
                <w:sz w:val="21"/>
                <w:szCs w:val="21"/>
                <w:lang w:val="zh-CN"/>
              </w:rPr>
            </w:pPr>
            <w:r>
              <w:rPr>
                <w:rFonts w:hint="eastAsia" w:ascii="宋体" w:hAnsi="宋体"/>
                <w:bCs/>
                <w:color w:val="auto"/>
                <w:sz w:val="21"/>
                <w:szCs w:val="21"/>
              </w:rPr>
              <w:t>备份响应文件拒收（如有）</w:t>
            </w:r>
          </w:p>
        </w:tc>
        <w:tc>
          <w:tcPr>
            <w:tcW w:w="6906" w:type="dxa"/>
            <w:tcBorders>
              <w:bottom w:val="single" w:color="auto" w:sz="4" w:space="0"/>
            </w:tcBorders>
            <w:noWrap/>
            <w:vAlign w:val="center"/>
          </w:tcPr>
          <w:p w14:paraId="4E0453AF">
            <w:pPr>
              <w:autoSpaceDE w:val="0"/>
              <w:autoSpaceDN w:val="0"/>
              <w:adjustRightInd w:val="0"/>
              <w:snapToGrid w:val="0"/>
              <w:spacing w:line="300" w:lineRule="exact"/>
              <w:rPr>
                <w:rFonts w:hint="eastAsia" w:ascii="宋体" w:hAnsi="宋体"/>
                <w:bCs/>
                <w:color w:val="auto"/>
                <w:kern w:val="0"/>
                <w:sz w:val="21"/>
                <w:szCs w:val="21"/>
                <w:lang w:val="zh-CN"/>
              </w:rPr>
            </w:pPr>
            <w:r>
              <w:rPr>
                <w:rFonts w:hint="eastAsia" w:ascii="宋体" w:hAnsi="宋体"/>
                <w:bCs/>
                <w:color w:val="auto"/>
                <w:kern w:val="0"/>
                <w:sz w:val="21"/>
                <w:szCs w:val="21"/>
                <w:lang w:val="zh-CN"/>
              </w:rPr>
              <w:t>供应商若递交备份磋商响应文件时，如出现下列情况之一的，将予以拒收：</w:t>
            </w:r>
          </w:p>
          <w:p w14:paraId="75984A07">
            <w:pPr>
              <w:numPr>
                <w:ilvl w:val="0"/>
                <w:numId w:val="3"/>
              </w:numPr>
              <w:autoSpaceDE w:val="0"/>
              <w:autoSpaceDN w:val="0"/>
              <w:adjustRightInd w:val="0"/>
              <w:snapToGrid w:val="0"/>
              <w:spacing w:line="300" w:lineRule="exact"/>
              <w:rPr>
                <w:rFonts w:hint="eastAsia" w:ascii="宋体" w:hAnsi="宋体"/>
                <w:bCs/>
                <w:color w:val="auto"/>
                <w:kern w:val="0"/>
                <w:sz w:val="21"/>
                <w:szCs w:val="21"/>
                <w:lang w:val="zh-CN"/>
              </w:rPr>
            </w:pPr>
            <w:r>
              <w:rPr>
                <w:rFonts w:hint="eastAsia" w:ascii="宋体" w:hAnsi="宋体"/>
                <w:bCs/>
                <w:color w:val="auto"/>
                <w:kern w:val="0"/>
                <w:sz w:val="21"/>
                <w:szCs w:val="21"/>
                <w:lang w:val="zh-CN"/>
              </w:rPr>
              <w:t>未按规定密封或标记的磋商响应文件；</w:t>
            </w:r>
          </w:p>
          <w:p w14:paraId="531CD903">
            <w:pPr>
              <w:numPr>
                <w:ilvl w:val="0"/>
                <w:numId w:val="3"/>
              </w:numPr>
              <w:autoSpaceDE w:val="0"/>
              <w:autoSpaceDN w:val="0"/>
              <w:adjustRightInd w:val="0"/>
              <w:snapToGrid w:val="0"/>
              <w:spacing w:line="300" w:lineRule="exact"/>
              <w:ind w:left="0" w:leftChars="0" w:firstLine="0" w:firstLineChars="0"/>
              <w:rPr>
                <w:rFonts w:hint="eastAsia" w:ascii="宋体" w:hAnsi="宋体"/>
                <w:bCs/>
                <w:color w:val="auto"/>
                <w:kern w:val="0"/>
                <w:sz w:val="21"/>
                <w:szCs w:val="21"/>
                <w:lang w:val="zh-CN"/>
              </w:rPr>
            </w:pPr>
            <w:r>
              <w:rPr>
                <w:rFonts w:hint="eastAsia" w:ascii="宋体" w:hAnsi="宋体"/>
                <w:bCs/>
                <w:color w:val="auto"/>
                <w:kern w:val="0"/>
                <w:sz w:val="21"/>
                <w:szCs w:val="21"/>
                <w:lang w:val="zh-CN"/>
              </w:rPr>
              <w:t>由于包装不妥，在送交途中严重破损或失散的；</w:t>
            </w:r>
          </w:p>
          <w:p w14:paraId="31F578A3">
            <w:pPr>
              <w:numPr>
                <w:ilvl w:val="0"/>
                <w:numId w:val="0"/>
              </w:numPr>
              <w:autoSpaceDE w:val="0"/>
              <w:autoSpaceDN w:val="0"/>
              <w:adjustRightInd w:val="0"/>
              <w:snapToGrid w:val="0"/>
              <w:spacing w:line="300" w:lineRule="exact"/>
              <w:ind w:leftChars="0"/>
              <w:rPr>
                <w:rFonts w:ascii="宋体" w:hAnsi="宋体"/>
                <w:b/>
                <w:color w:val="auto"/>
                <w:kern w:val="0"/>
                <w:sz w:val="21"/>
                <w:szCs w:val="21"/>
                <w:lang w:val="zh-CN"/>
              </w:rPr>
            </w:pPr>
            <w:r>
              <w:rPr>
                <w:rFonts w:hint="eastAsia" w:ascii="宋体" w:hAnsi="宋体"/>
                <w:bCs/>
                <w:color w:val="auto"/>
                <w:kern w:val="0"/>
                <w:sz w:val="21"/>
                <w:szCs w:val="21"/>
                <w:lang w:val="zh-CN"/>
              </w:rPr>
              <w:t>3、超过磋商截止时间送达的。</w:t>
            </w:r>
          </w:p>
        </w:tc>
      </w:tr>
      <w:tr w14:paraId="0119BC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tcBorders>
              <w:bottom w:val="single" w:color="auto" w:sz="4" w:space="0"/>
            </w:tcBorders>
            <w:noWrap/>
            <w:vAlign w:val="center"/>
          </w:tcPr>
          <w:p w14:paraId="1D6BD32F">
            <w:pPr>
              <w:spacing w:line="300" w:lineRule="exact"/>
              <w:jc w:val="center"/>
              <w:rPr>
                <w:rFonts w:ascii="宋体" w:hAnsi="宋体" w:eastAsiaTheme="minorEastAsia"/>
                <w:color w:val="auto"/>
                <w:sz w:val="24"/>
              </w:rPr>
            </w:pPr>
            <w:r>
              <w:rPr>
                <w:rFonts w:hint="eastAsia" w:ascii="宋体" w:hAnsi="宋体"/>
                <w:color w:val="auto"/>
                <w:sz w:val="24"/>
              </w:rPr>
              <w:t>1</w:t>
            </w:r>
            <w:r>
              <w:rPr>
                <w:rFonts w:hint="eastAsia" w:ascii="宋体" w:hAnsi="宋体" w:eastAsiaTheme="minorEastAsia"/>
                <w:color w:val="auto"/>
                <w:sz w:val="24"/>
              </w:rPr>
              <w:t>2</w:t>
            </w:r>
          </w:p>
        </w:tc>
        <w:tc>
          <w:tcPr>
            <w:tcW w:w="2019" w:type="dxa"/>
            <w:tcBorders>
              <w:bottom w:val="single" w:color="auto" w:sz="4" w:space="0"/>
            </w:tcBorders>
            <w:noWrap/>
            <w:vAlign w:val="center"/>
          </w:tcPr>
          <w:p w14:paraId="67BA9E95">
            <w:pPr>
              <w:autoSpaceDE w:val="0"/>
              <w:autoSpaceDN w:val="0"/>
              <w:adjustRightInd w:val="0"/>
              <w:spacing w:line="300" w:lineRule="exact"/>
              <w:jc w:val="center"/>
              <w:rPr>
                <w:rFonts w:ascii="宋体" w:hAnsi="宋体"/>
                <w:color w:val="auto"/>
                <w:sz w:val="21"/>
                <w:szCs w:val="21"/>
                <w:lang w:val="zh-CN"/>
              </w:rPr>
            </w:pPr>
            <w:r>
              <w:rPr>
                <w:rFonts w:hint="eastAsia" w:ascii="宋体" w:hAnsi="宋体"/>
                <w:color w:val="auto"/>
                <w:sz w:val="21"/>
                <w:szCs w:val="21"/>
                <w:lang w:val="zh-CN"/>
              </w:rPr>
              <w:t>实质性条款</w:t>
            </w:r>
          </w:p>
        </w:tc>
        <w:tc>
          <w:tcPr>
            <w:tcW w:w="6906" w:type="dxa"/>
            <w:tcBorders>
              <w:bottom w:val="single" w:color="auto" w:sz="4" w:space="0"/>
            </w:tcBorders>
            <w:noWrap/>
            <w:vAlign w:val="center"/>
          </w:tcPr>
          <w:p w14:paraId="06EC0EAB">
            <w:pPr>
              <w:autoSpaceDE w:val="0"/>
              <w:autoSpaceDN w:val="0"/>
              <w:adjustRightInd w:val="0"/>
              <w:spacing w:line="300" w:lineRule="exact"/>
              <w:ind w:left="1050" w:hanging="1050"/>
              <w:jc w:val="left"/>
              <w:rPr>
                <w:rFonts w:ascii="宋体" w:hAnsi="宋体"/>
                <w:color w:val="auto"/>
                <w:kern w:val="0"/>
                <w:sz w:val="21"/>
                <w:szCs w:val="21"/>
                <w:lang w:val="zh-CN"/>
              </w:rPr>
            </w:pPr>
            <w:r>
              <w:rPr>
                <w:rFonts w:hint="eastAsia" w:ascii="宋体" w:hAnsi="宋体"/>
                <w:color w:val="auto"/>
                <w:kern w:val="0"/>
                <w:sz w:val="21"/>
                <w:szCs w:val="21"/>
                <w:lang w:val="zh-CN"/>
              </w:rPr>
              <w:t>带</w:t>
            </w:r>
            <w:r>
              <w:rPr>
                <w:rFonts w:hint="eastAsia" w:ascii="宋体" w:hAnsi="宋体"/>
                <w:bCs/>
                <w:color w:val="auto"/>
                <w:sz w:val="21"/>
                <w:szCs w:val="21"/>
              </w:rPr>
              <w:t>▲是实质性条款，磋商响应文件须作出实质性响应，否则作无效标处理。</w:t>
            </w:r>
          </w:p>
        </w:tc>
      </w:tr>
      <w:tr w14:paraId="34D8A4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ign w:val="center"/>
          </w:tcPr>
          <w:p w14:paraId="0F201F6E">
            <w:pPr>
              <w:spacing w:line="300" w:lineRule="exact"/>
              <w:jc w:val="center"/>
              <w:rPr>
                <w:rFonts w:ascii="宋体" w:hAnsi="宋体"/>
                <w:color w:val="auto"/>
                <w:sz w:val="24"/>
              </w:rPr>
            </w:pPr>
            <w:r>
              <w:rPr>
                <w:rFonts w:hint="eastAsia" w:ascii="宋体" w:hAnsi="宋体"/>
                <w:color w:val="auto"/>
                <w:sz w:val="24"/>
              </w:rPr>
              <w:t>13</w:t>
            </w:r>
          </w:p>
        </w:tc>
        <w:tc>
          <w:tcPr>
            <w:tcW w:w="2019" w:type="dxa"/>
            <w:tcBorders>
              <w:top w:val="single" w:color="auto" w:sz="4" w:space="0"/>
              <w:bottom w:val="single" w:color="auto" w:sz="4" w:space="0"/>
            </w:tcBorders>
            <w:noWrap/>
            <w:vAlign w:val="center"/>
          </w:tcPr>
          <w:p w14:paraId="0E6B3031">
            <w:pPr>
              <w:autoSpaceDE w:val="0"/>
              <w:autoSpaceDN w:val="0"/>
              <w:adjustRightInd w:val="0"/>
              <w:spacing w:line="300" w:lineRule="exact"/>
              <w:jc w:val="center"/>
              <w:rPr>
                <w:rFonts w:ascii="宋体" w:hAnsi="宋体"/>
                <w:bCs/>
                <w:color w:val="auto"/>
                <w:sz w:val="21"/>
                <w:szCs w:val="21"/>
                <w:lang w:val="zh-CN"/>
              </w:rPr>
            </w:pPr>
            <w:r>
              <w:rPr>
                <w:rFonts w:hint="eastAsia" w:ascii="宋体" w:hAnsi="宋体"/>
                <w:bCs/>
                <w:color w:val="auto"/>
                <w:sz w:val="21"/>
                <w:szCs w:val="21"/>
              </w:rPr>
              <w:t>▲项目最高限价</w:t>
            </w:r>
          </w:p>
        </w:tc>
        <w:tc>
          <w:tcPr>
            <w:tcW w:w="6906" w:type="dxa"/>
            <w:tcBorders>
              <w:top w:val="single" w:color="auto" w:sz="4" w:space="0"/>
              <w:bottom w:val="single" w:color="auto" w:sz="4" w:space="0"/>
            </w:tcBorders>
            <w:noWrap/>
            <w:vAlign w:val="center"/>
          </w:tcPr>
          <w:p w14:paraId="2807F4CF">
            <w:pPr>
              <w:autoSpaceDE w:val="0"/>
              <w:autoSpaceDN w:val="0"/>
              <w:adjustRightInd w:val="0"/>
              <w:spacing w:line="300" w:lineRule="exact"/>
              <w:rPr>
                <w:rFonts w:ascii="宋体" w:hAnsi="宋体" w:eastAsia="宋体"/>
                <w:bCs/>
                <w:color w:val="auto"/>
                <w:sz w:val="21"/>
                <w:szCs w:val="21"/>
                <w:lang w:val="zh-CN"/>
              </w:rPr>
            </w:pPr>
            <w:r>
              <w:rPr>
                <w:rFonts w:hint="eastAsia" w:ascii="宋体" w:hAnsi="宋体" w:eastAsia="宋体" w:cs="宋体"/>
                <w:b/>
                <w:color w:val="auto"/>
                <w:sz w:val="21"/>
                <w:szCs w:val="21"/>
              </w:rPr>
              <w:t>最高限价：</w:t>
            </w:r>
            <w:r>
              <w:rPr>
                <w:rFonts w:hint="eastAsia" w:ascii="宋体" w:hAnsi="宋体" w:eastAsia="宋体" w:cs="宋体"/>
                <w:b/>
                <w:color w:val="auto"/>
                <w:kern w:val="0"/>
                <w:sz w:val="21"/>
                <w:szCs w:val="21"/>
                <w:lang w:eastAsia="zh-CN"/>
              </w:rPr>
              <w:t>1223994</w:t>
            </w:r>
            <w:r>
              <w:rPr>
                <w:rFonts w:hint="eastAsia" w:ascii="宋体" w:hAnsi="宋体" w:eastAsia="宋体" w:cs="宋体"/>
                <w:b/>
                <w:color w:val="auto"/>
                <w:kern w:val="0"/>
                <w:sz w:val="21"/>
                <w:szCs w:val="21"/>
              </w:rPr>
              <w:t>元</w:t>
            </w:r>
            <w:r>
              <w:rPr>
                <w:rFonts w:hint="eastAsia" w:ascii="宋体" w:hAnsi="宋体" w:eastAsia="宋体"/>
                <w:bCs/>
                <w:color w:val="auto"/>
                <w:sz w:val="21"/>
                <w:szCs w:val="21"/>
              </w:rPr>
              <w:t xml:space="preserve">。如供应商的磋商报价超过最高限价，其磋商响应文件作无效标处理。 </w:t>
            </w:r>
          </w:p>
        </w:tc>
      </w:tr>
      <w:tr w14:paraId="369EB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ign w:val="center"/>
          </w:tcPr>
          <w:p w14:paraId="55307FDE">
            <w:pPr>
              <w:spacing w:line="30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14</w:t>
            </w:r>
          </w:p>
        </w:tc>
        <w:tc>
          <w:tcPr>
            <w:tcW w:w="2019" w:type="dxa"/>
            <w:tcBorders>
              <w:top w:val="single" w:color="auto" w:sz="4" w:space="0"/>
              <w:bottom w:val="single" w:color="auto" w:sz="4" w:space="0"/>
            </w:tcBorders>
            <w:noWrap/>
            <w:vAlign w:val="center"/>
          </w:tcPr>
          <w:p w14:paraId="12BA23E7">
            <w:pPr>
              <w:autoSpaceDE w:val="0"/>
              <w:autoSpaceDN w:val="0"/>
              <w:adjustRightInd w:val="0"/>
              <w:spacing w:line="300" w:lineRule="exact"/>
              <w:jc w:val="center"/>
              <w:rPr>
                <w:rFonts w:hint="eastAsia" w:ascii="宋体" w:hAnsi="宋体"/>
                <w:bCs/>
                <w:color w:val="auto"/>
                <w:sz w:val="21"/>
                <w:szCs w:val="21"/>
              </w:rPr>
            </w:pPr>
            <w:r>
              <w:rPr>
                <w:rFonts w:hint="eastAsia" w:ascii="宋体" w:hAnsi="宋体" w:cs="Times New Roman"/>
                <w:bCs/>
                <w:color w:val="auto"/>
                <w:sz w:val="21"/>
                <w:szCs w:val="21"/>
              </w:rPr>
              <w:t>中小企业划分标准所属行业</w:t>
            </w:r>
          </w:p>
        </w:tc>
        <w:tc>
          <w:tcPr>
            <w:tcW w:w="6906" w:type="dxa"/>
            <w:tcBorders>
              <w:top w:val="single" w:color="auto" w:sz="4" w:space="0"/>
              <w:bottom w:val="single" w:color="auto" w:sz="4" w:space="0"/>
            </w:tcBorders>
            <w:noWrap/>
            <w:vAlign w:val="center"/>
          </w:tcPr>
          <w:p w14:paraId="208D1F40">
            <w:pPr>
              <w:autoSpaceDE w:val="0"/>
              <w:autoSpaceDN w:val="0"/>
              <w:adjustRightInd w:val="0"/>
              <w:spacing w:line="300" w:lineRule="exact"/>
              <w:jc w:val="both"/>
              <w:rPr>
                <w:rFonts w:hint="eastAsia" w:ascii="宋体" w:hAnsi="宋体" w:eastAsia="宋体" w:cs="宋体"/>
                <w:b/>
                <w:color w:val="auto"/>
                <w:sz w:val="21"/>
                <w:szCs w:val="21"/>
              </w:rPr>
            </w:pPr>
            <w:r>
              <w:rPr>
                <w:rFonts w:hint="eastAsia" w:ascii="宋体" w:hAnsi="宋体" w:cs="Times New Roman"/>
                <w:bCs/>
                <w:color w:val="auto"/>
                <w:sz w:val="21"/>
                <w:szCs w:val="21"/>
              </w:rPr>
              <w:t>建筑业。</w:t>
            </w:r>
          </w:p>
        </w:tc>
      </w:tr>
      <w:tr w14:paraId="2D1AD4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ign w:val="center"/>
          </w:tcPr>
          <w:p w14:paraId="101BBC27">
            <w:pPr>
              <w:spacing w:line="300" w:lineRule="exact"/>
              <w:jc w:val="center"/>
              <w:rPr>
                <w:rFonts w:hint="eastAsia" w:ascii="宋体" w:hAnsi="宋体" w:eastAsia="宋体"/>
                <w:color w:val="auto"/>
                <w:sz w:val="24"/>
                <w:lang w:val="en-US" w:eastAsia="zh-CN"/>
              </w:rPr>
            </w:pPr>
            <w:r>
              <w:rPr>
                <w:rFonts w:hint="eastAsia" w:ascii="宋体" w:hAnsi="宋体" w:eastAsia="宋体"/>
                <w:color w:val="auto"/>
                <w:sz w:val="24"/>
              </w:rPr>
              <w:t>1</w:t>
            </w:r>
            <w:r>
              <w:rPr>
                <w:rFonts w:hint="eastAsia" w:ascii="宋体" w:hAnsi="宋体" w:eastAsia="宋体"/>
                <w:color w:val="auto"/>
                <w:sz w:val="24"/>
                <w:lang w:val="en-US" w:eastAsia="zh-CN"/>
              </w:rPr>
              <w:t>5</w:t>
            </w:r>
          </w:p>
        </w:tc>
        <w:tc>
          <w:tcPr>
            <w:tcW w:w="2019" w:type="dxa"/>
            <w:tcBorders>
              <w:top w:val="single" w:color="auto" w:sz="4" w:space="0"/>
              <w:bottom w:val="single" w:color="auto" w:sz="4" w:space="0"/>
            </w:tcBorders>
            <w:noWrap/>
            <w:vAlign w:val="center"/>
          </w:tcPr>
          <w:p w14:paraId="67F68786">
            <w:pPr>
              <w:autoSpaceDE w:val="0"/>
              <w:autoSpaceDN w:val="0"/>
              <w:adjustRightInd w:val="0"/>
              <w:spacing w:line="3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代理服务费</w:t>
            </w:r>
          </w:p>
        </w:tc>
        <w:tc>
          <w:tcPr>
            <w:tcW w:w="6906" w:type="dxa"/>
            <w:tcBorders>
              <w:top w:val="single" w:color="auto" w:sz="4" w:space="0"/>
              <w:bottom w:val="single" w:color="auto" w:sz="4" w:space="0"/>
            </w:tcBorders>
            <w:noWrap/>
            <w:vAlign w:val="center"/>
          </w:tcPr>
          <w:p w14:paraId="459C34EF">
            <w:pPr>
              <w:shd w:val="clear" w:color="auto" w:fill="auto"/>
              <w:autoSpaceDE w:val="0"/>
              <w:autoSpaceDN w:val="0"/>
              <w:adjustRightInd w:val="0"/>
              <w:snapToGrid w:val="0"/>
              <w:spacing w:line="300" w:lineRule="exact"/>
              <w:rPr>
                <w:rFonts w:hint="eastAsia" w:ascii="宋体" w:hAnsi="宋体" w:eastAsia="宋体"/>
                <w:bCs/>
                <w:color w:val="auto"/>
                <w:sz w:val="21"/>
                <w:szCs w:val="21"/>
                <w:highlight w:val="none"/>
                <w:lang w:val="zh-CN"/>
              </w:rPr>
            </w:pPr>
            <w:r>
              <w:rPr>
                <w:rFonts w:hint="eastAsia" w:ascii="宋体" w:hAnsi="宋体" w:eastAsia="宋体"/>
                <w:bCs/>
                <w:color w:val="auto"/>
                <w:sz w:val="21"/>
                <w:szCs w:val="21"/>
                <w:highlight w:val="none"/>
                <w:lang w:val="zh-CN"/>
              </w:rPr>
              <w:t>本项目代理服务费按照下面表格的工程类招标费率标准，按照成交通知书确定的中标总金额向中标供应商收取招标代理服务费，不足</w:t>
            </w:r>
            <w:r>
              <w:rPr>
                <w:rFonts w:hint="eastAsia" w:ascii="宋体" w:hAnsi="宋体" w:eastAsia="宋体"/>
                <w:bCs/>
                <w:color w:val="auto"/>
                <w:sz w:val="21"/>
                <w:szCs w:val="21"/>
                <w:highlight w:val="none"/>
                <w:lang w:val="en-US" w:eastAsia="zh-CN"/>
              </w:rPr>
              <w:t>7</w:t>
            </w:r>
            <w:r>
              <w:rPr>
                <w:rFonts w:hint="eastAsia" w:ascii="宋体" w:hAnsi="宋体" w:eastAsia="宋体"/>
                <w:bCs/>
                <w:color w:val="auto"/>
                <w:sz w:val="21"/>
                <w:szCs w:val="21"/>
                <w:highlight w:val="none"/>
                <w:lang w:val="zh-CN"/>
              </w:rPr>
              <w:t>000元按</w:t>
            </w:r>
            <w:r>
              <w:rPr>
                <w:rFonts w:hint="eastAsia" w:ascii="宋体" w:hAnsi="宋体" w:eastAsia="宋体"/>
                <w:bCs/>
                <w:color w:val="auto"/>
                <w:sz w:val="21"/>
                <w:szCs w:val="21"/>
                <w:highlight w:val="none"/>
                <w:lang w:val="en-US" w:eastAsia="zh-CN"/>
              </w:rPr>
              <w:t>7</w:t>
            </w:r>
            <w:r>
              <w:rPr>
                <w:rFonts w:hint="eastAsia" w:ascii="宋体" w:hAnsi="宋体" w:eastAsia="宋体"/>
                <w:bCs/>
                <w:color w:val="auto"/>
                <w:sz w:val="21"/>
                <w:szCs w:val="21"/>
                <w:highlight w:val="none"/>
                <w:lang w:val="zh-CN"/>
              </w:rPr>
              <w:t>000元收取,由中标供应商在领取成交通知书时一次性支付。</w:t>
            </w:r>
          </w:p>
          <w:tbl>
            <w:tblPr>
              <w:tblStyle w:val="26"/>
              <w:tblpPr w:leftFromText="180" w:rightFromText="180" w:vertAnchor="text" w:horzAnchor="page" w:tblpX="1" w:tblpY="1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6"/>
              <w:gridCol w:w="1134"/>
              <w:gridCol w:w="1134"/>
              <w:gridCol w:w="1134"/>
            </w:tblGrid>
            <w:tr w14:paraId="7720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trPr>
              <w:tc>
                <w:tcPr>
                  <w:tcW w:w="2556" w:type="dxa"/>
                  <w:noWrap w:val="0"/>
                  <w:vAlign w:val="top"/>
                </w:tcPr>
                <w:p w14:paraId="7AD6CB0E">
                  <w:pPr>
                    <w:pStyle w:val="64"/>
                    <w:keepNext w:val="0"/>
                    <w:keepLines w:val="0"/>
                    <w:pageBreakBefore w:val="0"/>
                    <w:widowControl w:val="0"/>
                    <w:kinsoku/>
                    <w:wordWrap/>
                    <w:overflowPunct/>
                    <w:topLinePunct w:val="0"/>
                    <w:autoSpaceDE/>
                    <w:autoSpaceDN/>
                    <w:bidi w:val="0"/>
                    <w:adjustRightInd/>
                    <w:spacing w:line="360" w:lineRule="auto"/>
                    <w:ind w:left="1578"/>
                    <w:textAlignment w:val="auto"/>
                    <w:outlineLvl w:val="9"/>
                    <w:rPr>
                      <w:b/>
                      <w:color w:val="000000"/>
                      <w:sz w:val="21"/>
                    </w:rPr>
                  </w:pPr>
                  <w:r>
                    <w:rPr>
                      <w:color w:val="000000"/>
                    </w:rPr>
                    <mc:AlternateContent>
                      <mc:Choice Requires="wps">
                        <w:drawing>
                          <wp:anchor distT="0" distB="0" distL="114300" distR="114300" simplePos="0" relativeHeight="251659264" behindDoc="1" locked="0" layoutInCell="1" allowOverlap="1">
                            <wp:simplePos x="0" y="0"/>
                            <wp:positionH relativeFrom="page">
                              <wp:posOffset>-16510</wp:posOffset>
                            </wp:positionH>
                            <wp:positionV relativeFrom="paragraph">
                              <wp:posOffset>-6350</wp:posOffset>
                            </wp:positionV>
                            <wp:extent cx="1635125" cy="1047115"/>
                            <wp:effectExtent l="0" t="0" r="3175" b="635"/>
                            <wp:wrapNone/>
                            <wp:docPr id="4" name="任意多边形 4"/>
                            <wp:cNvGraphicFramePr/>
                            <a:graphic xmlns:a="http://schemas.openxmlformats.org/drawingml/2006/main">
                              <a:graphicData uri="http://schemas.microsoft.com/office/word/2010/wordprocessingShape">
                                <wps:wsp>
                                  <wps:cNvSpPr/>
                                  <wps:spPr>
                                    <a:xfrm>
                                      <a:off x="0" y="0"/>
                                      <a:ext cx="1635125" cy="104711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upright="1"/>
                                </wps:wsp>
                              </a:graphicData>
                            </a:graphic>
                          </wp:anchor>
                        </w:drawing>
                      </mc:Choice>
                      <mc:Fallback>
                        <w:pict>
                          <v:shape id="_x0000_s1026" o:spid="_x0000_s1026" o:spt="100" style="position:absolute;left:0pt;margin-left:-1.3pt;margin-top:-0.5pt;height:82.45pt;width:128.75pt;mso-position-horizontal-relative:page;z-index:-251657216;mso-width-relative:page;mso-height-relative:page;" fillcolor="#000000" filled="t" stroked="f" coordsize="2569,1189" o:gfxdata="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gIEf/2AAAAAkBAAAPAAAAAAAA&#10;AAEAIAAAACIAAABkcnMvZG93bnJldi54bWxQSwECFAAUAAAACACHTuJAuKiTuUsCAABTBQAADgAA&#10;AAAAAAABACAAAAAnAQAAZHJzL2Uyb0RvYy54bWxQSwUGAAAAAAYABgBZAQAA5AUAAAAA&#10;" path="m2556,1175l6,33,0,47,2550,1189,2556,1175m2569,1165l1116,0,1106,12,2559,1177,2569,1165e">
                            <v:fill on="t" focussize="0,0"/>
                            <v:stroke on="f"/>
                            <v:imagedata o:title=""/>
                            <o:lock v:ext="edit" aspectratio="f"/>
                          </v:shape>
                        </w:pict>
                      </mc:Fallback>
                    </mc:AlternateContent>
                  </w:r>
                  <w:r>
                    <w:rPr>
                      <w:b/>
                      <w:color w:val="000000"/>
                      <w:sz w:val="21"/>
                    </w:rPr>
                    <w:t>服务</w:t>
                  </w:r>
                </w:p>
                <w:p w14:paraId="11366A59">
                  <w:pPr>
                    <w:pStyle w:val="64"/>
                    <w:keepNext w:val="0"/>
                    <w:keepLines w:val="0"/>
                    <w:pageBreakBefore w:val="0"/>
                    <w:widowControl w:val="0"/>
                    <w:tabs>
                      <w:tab w:val="left" w:pos="1789"/>
                    </w:tabs>
                    <w:kinsoku/>
                    <w:wordWrap/>
                    <w:overflowPunct/>
                    <w:topLinePunct w:val="0"/>
                    <w:autoSpaceDE/>
                    <w:autoSpaceDN/>
                    <w:bidi w:val="0"/>
                    <w:adjustRightInd/>
                    <w:spacing w:line="360" w:lineRule="auto"/>
                    <w:ind w:left="1578" w:right="334" w:hanging="420"/>
                    <w:textAlignment w:val="auto"/>
                    <w:outlineLvl w:val="9"/>
                    <w:rPr>
                      <w:b/>
                      <w:color w:val="000000"/>
                      <w:sz w:val="21"/>
                    </w:rPr>
                  </w:pPr>
                  <w:r>
                    <w:rPr>
                      <w:b/>
                      <w:color w:val="000000"/>
                      <w:sz w:val="21"/>
                    </w:rPr>
                    <w:t>费</w:t>
                  </w:r>
                  <w:r>
                    <w:rPr>
                      <w:b/>
                      <w:color w:val="000000"/>
                      <w:sz w:val="21"/>
                    </w:rPr>
                    <w:tab/>
                  </w:r>
                  <w:r>
                    <w:rPr>
                      <w:b/>
                      <w:color w:val="000000"/>
                      <w:sz w:val="21"/>
                    </w:rPr>
                    <w:tab/>
                  </w:r>
                  <w:r>
                    <w:rPr>
                      <w:b/>
                      <w:color w:val="000000"/>
                      <w:sz w:val="21"/>
                    </w:rPr>
                    <w:t>类</w:t>
                  </w:r>
                  <w:r>
                    <w:rPr>
                      <w:b/>
                      <w:color w:val="000000"/>
                      <w:spacing w:val="-17"/>
                      <w:sz w:val="21"/>
                    </w:rPr>
                    <w:t>型</w:t>
                  </w:r>
                  <w:r>
                    <w:rPr>
                      <w:b/>
                      <w:color w:val="000000"/>
                      <w:sz w:val="21"/>
                    </w:rPr>
                    <w:t>率</w:t>
                  </w:r>
                </w:p>
                <w:p w14:paraId="5BB0E5BC">
                  <w:pPr>
                    <w:pStyle w:val="64"/>
                    <w:keepNext w:val="0"/>
                    <w:keepLines w:val="0"/>
                    <w:pageBreakBefore w:val="0"/>
                    <w:widowControl w:val="0"/>
                    <w:kinsoku/>
                    <w:wordWrap/>
                    <w:overflowPunct/>
                    <w:topLinePunct w:val="0"/>
                    <w:autoSpaceDE/>
                    <w:autoSpaceDN/>
                    <w:bidi w:val="0"/>
                    <w:adjustRightInd/>
                    <w:spacing w:line="360" w:lineRule="auto"/>
                    <w:ind w:left="107"/>
                    <w:textAlignment w:val="auto"/>
                    <w:outlineLvl w:val="9"/>
                    <w:rPr>
                      <w:b/>
                      <w:color w:val="000000"/>
                      <w:sz w:val="21"/>
                    </w:rPr>
                  </w:pPr>
                  <w:r>
                    <w:rPr>
                      <w:b/>
                      <w:color w:val="000000"/>
                      <w:w w:val="95"/>
                      <w:sz w:val="21"/>
                    </w:rPr>
                    <w:t>中标金额（万元）</w:t>
                  </w:r>
                </w:p>
              </w:tc>
              <w:tc>
                <w:tcPr>
                  <w:tcW w:w="1134" w:type="dxa"/>
                  <w:noWrap w:val="0"/>
                  <w:vAlign w:val="center"/>
                </w:tcPr>
                <w:p w14:paraId="36E01A60">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b/>
                      <w:color w:val="000000"/>
                      <w:sz w:val="21"/>
                    </w:rPr>
                  </w:pPr>
                  <w:r>
                    <w:rPr>
                      <w:b/>
                      <w:color w:val="000000"/>
                      <w:sz w:val="21"/>
                    </w:rPr>
                    <w:t>货物招标</w:t>
                  </w:r>
                </w:p>
              </w:tc>
              <w:tc>
                <w:tcPr>
                  <w:tcW w:w="1134" w:type="dxa"/>
                  <w:noWrap w:val="0"/>
                  <w:vAlign w:val="center"/>
                </w:tcPr>
                <w:p w14:paraId="10069B55">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b/>
                      <w:color w:val="000000"/>
                      <w:sz w:val="21"/>
                    </w:rPr>
                  </w:pPr>
                  <w:r>
                    <w:rPr>
                      <w:b/>
                      <w:color w:val="000000"/>
                      <w:sz w:val="21"/>
                    </w:rPr>
                    <w:t>服务招标</w:t>
                  </w:r>
                </w:p>
              </w:tc>
              <w:tc>
                <w:tcPr>
                  <w:tcW w:w="1134" w:type="dxa"/>
                  <w:noWrap w:val="0"/>
                  <w:vAlign w:val="center"/>
                </w:tcPr>
                <w:p w14:paraId="02CA21DE">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b/>
                      <w:color w:val="000000"/>
                      <w:sz w:val="21"/>
                    </w:rPr>
                  </w:pPr>
                  <w:r>
                    <w:rPr>
                      <w:b/>
                      <w:color w:val="000000"/>
                      <w:sz w:val="21"/>
                    </w:rPr>
                    <w:t>工程招标</w:t>
                  </w:r>
                </w:p>
              </w:tc>
            </w:tr>
            <w:tr w14:paraId="4DE8A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0B41A098">
                  <w:pPr>
                    <w:pStyle w:val="64"/>
                    <w:keepNext w:val="0"/>
                    <w:keepLines w:val="0"/>
                    <w:pageBreakBefore w:val="0"/>
                    <w:widowControl w:val="0"/>
                    <w:kinsoku/>
                    <w:wordWrap/>
                    <w:overflowPunct/>
                    <w:topLinePunct w:val="0"/>
                    <w:autoSpaceDE/>
                    <w:autoSpaceDN/>
                    <w:bidi w:val="0"/>
                    <w:adjustRightInd/>
                    <w:spacing w:line="360" w:lineRule="auto"/>
                    <w:ind w:left="624" w:right="618"/>
                    <w:jc w:val="center"/>
                    <w:textAlignment w:val="auto"/>
                    <w:outlineLvl w:val="9"/>
                    <w:rPr>
                      <w:color w:val="000000"/>
                      <w:sz w:val="21"/>
                    </w:rPr>
                  </w:pPr>
                  <w:r>
                    <w:rPr>
                      <w:color w:val="000000"/>
                      <w:sz w:val="21"/>
                    </w:rPr>
                    <w:t>100 以下</w:t>
                  </w:r>
                </w:p>
              </w:tc>
              <w:tc>
                <w:tcPr>
                  <w:tcW w:w="1134" w:type="dxa"/>
                  <w:noWrap w:val="0"/>
                  <w:vAlign w:val="top"/>
                </w:tcPr>
                <w:p w14:paraId="4067C448">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1.5%</w:t>
                  </w:r>
                </w:p>
              </w:tc>
              <w:tc>
                <w:tcPr>
                  <w:tcW w:w="1134" w:type="dxa"/>
                  <w:noWrap w:val="0"/>
                  <w:vAlign w:val="top"/>
                </w:tcPr>
                <w:p w14:paraId="7776DABF">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1.5%</w:t>
                  </w:r>
                </w:p>
              </w:tc>
              <w:tc>
                <w:tcPr>
                  <w:tcW w:w="1134" w:type="dxa"/>
                  <w:noWrap w:val="0"/>
                  <w:vAlign w:val="top"/>
                </w:tcPr>
                <w:p w14:paraId="63B036AE">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1.0%</w:t>
                  </w:r>
                </w:p>
              </w:tc>
            </w:tr>
            <w:tr w14:paraId="1282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3105C00B">
                  <w:pPr>
                    <w:pStyle w:val="64"/>
                    <w:keepNext w:val="0"/>
                    <w:keepLines w:val="0"/>
                    <w:pageBreakBefore w:val="0"/>
                    <w:widowControl w:val="0"/>
                    <w:kinsoku/>
                    <w:wordWrap/>
                    <w:overflowPunct/>
                    <w:topLinePunct w:val="0"/>
                    <w:autoSpaceDE/>
                    <w:autoSpaceDN/>
                    <w:bidi w:val="0"/>
                    <w:adjustRightInd/>
                    <w:spacing w:line="360" w:lineRule="auto"/>
                    <w:ind w:left="625" w:right="618"/>
                    <w:jc w:val="center"/>
                    <w:textAlignment w:val="auto"/>
                    <w:outlineLvl w:val="9"/>
                    <w:rPr>
                      <w:color w:val="000000"/>
                      <w:sz w:val="21"/>
                    </w:rPr>
                  </w:pPr>
                  <w:r>
                    <w:rPr>
                      <w:color w:val="000000"/>
                      <w:sz w:val="21"/>
                    </w:rPr>
                    <w:t>100-500</w:t>
                  </w:r>
                </w:p>
              </w:tc>
              <w:tc>
                <w:tcPr>
                  <w:tcW w:w="1134" w:type="dxa"/>
                  <w:noWrap w:val="0"/>
                  <w:vAlign w:val="top"/>
                </w:tcPr>
                <w:p w14:paraId="0C70A87F">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1.1%</w:t>
                  </w:r>
                </w:p>
              </w:tc>
              <w:tc>
                <w:tcPr>
                  <w:tcW w:w="1134" w:type="dxa"/>
                  <w:noWrap w:val="0"/>
                  <w:vAlign w:val="top"/>
                </w:tcPr>
                <w:p w14:paraId="70B23919">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0.8%</w:t>
                  </w:r>
                </w:p>
              </w:tc>
              <w:tc>
                <w:tcPr>
                  <w:tcW w:w="1134" w:type="dxa"/>
                  <w:noWrap w:val="0"/>
                  <w:vAlign w:val="top"/>
                </w:tcPr>
                <w:p w14:paraId="644D9D53">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0.7%</w:t>
                  </w:r>
                </w:p>
              </w:tc>
            </w:tr>
            <w:tr w14:paraId="26909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70901A79">
                  <w:pPr>
                    <w:pStyle w:val="64"/>
                    <w:keepNext w:val="0"/>
                    <w:keepLines w:val="0"/>
                    <w:pageBreakBefore w:val="0"/>
                    <w:widowControl w:val="0"/>
                    <w:kinsoku/>
                    <w:wordWrap/>
                    <w:overflowPunct/>
                    <w:topLinePunct w:val="0"/>
                    <w:autoSpaceDE/>
                    <w:autoSpaceDN/>
                    <w:bidi w:val="0"/>
                    <w:adjustRightInd/>
                    <w:spacing w:line="360" w:lineRule="auto"/>
                    <w:ind w:left="627" w:right="618"/>
                    <w:jc w:val="center"/>
                    <w:textAlignment w:val="auto"/>
                    <w:outlineLvl w:val="9"/>
                    <w:rPr>
                      <w:color w:val="000000"/>
                      <w:sz w:val="21"/>
                    </w:rPr>
                  </w:pPr>
                  <w:r>
                    <w:rPr>
                      <w:color w:val="000000"/>
                      <w:sz w:val="21"/>
                    </w:rPr>
                    <w:t>500-1000</w:t>
                  </w:r>
                </w:p>
              </w:tc>
              <w:tc>
                <w:tcPr>
                  <w:tcW w:w="1134" w:type="dxa"/>
                  <w:noWrap w:val="0"/>
                  <w:vAlign w:val="top"/>
                </w:tcPr>
                <w:p w14:paraId="62740BE0">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0.8%</w:t>
                  </w:r>
                </w:p>
              </w:tc>
              <w:tc>
                <w:tcPr>
                  <w:tcW w:w="1134" w:type="dxa"/>
                  <w:noWrap w:val="0"/>
                  <w:vAlign w:val="top"/>
                </w:tcPr>
                <w:p w14:paraId="447A9236">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0.45%</w:t>
                  </w:r>
                </w:p>
              </w:tc>
              <w:tc>
                <w:tcPr>
                  <w:tcW w:w="1134" w:type="dxa"/>
                  <w:noWrap w:val="0"/>
                  <w:vAlign w:val="top"/>
                </w:tcPr>
                <w:p w14:paraId="0A887069">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0.55%</w:t>
                  </w:r>
                </w:p>
              </w:tc>
            </w:tr>
            <w:tr w14:paraId="4C04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3987A99F">
                  <w:pPr>
                    <w:pStyle w:val="64"/>
                    <w:keepNext w:val="0"/>
                    <w:keepLines w:val="0"/>
                    <w:pageBreakBefore w:val="0"/>
                    <w:widowControl w:val="0"/>
                    <w:kinsoku/>
                    <w:wordWrap/>
                    <w:overflowPunct/>
                    <w:topLinePunct w:val="0"/>
                    <w:autoSpaceDE/>
                    <w:autoSpaceDN/>
                    <w:bidi w:val="0"/>
                    <w:adjustRightInd/>
                    <w:spacing w:line="360" w:lineRule="auto"/>
                    <w:ind w:left="627" w:right="618"/>
                    <w:jc w:val="center"/>
                    <w:textAlignment w:val="auto"/>
                    <w:outlineLvl w:val="9"/>
                    <w:rPr>
                      <w:color w:val="000000"/>
                      <w:sz w:val="21"/>
                    </w:rPr>
                  </w:pPr>
                  <w:r>
                    <w:rPr>
                      <w:color w:val="000000"/>
                      <w:sz w:val="21"/>
                    </w:rPr>
                    <w:t>1000-5000</w:t>
                  </w:r>
                </w:p>
              </w:tc>
              <w:tc>
                <w:tcPr>
                  <w:tcW w:w="1134" w:type="dxa"/>
                  <w:noWrap w:val="0"/>
                  <w:vAlign w:val="top"/>
                </w:tcPr>
                <w:p w14:paraId="6DA161A3">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0.5%</w:t>
                  </w:r>
                </w:p>
              </w:tc>
              <w:tc>
                <w:tcPr>
                  <w:tcW w:w="1134" w:type="dxa"/>
                  <w:noWrap w:val="0"/>
                  <w:vAlign w:val="top"/>
                </w:tcPr>
                <w:p w14:paraId="6396E8CB">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0.25%</w:t>
                  </w:r>
                </w:p>
              </w:tc>
              <w:tc>
                <w:tcPr>
                  <w:tcW w:w="1134" w:type="dxa"/>
                  <w:noWrap w:val="0"/>
                  <w:vAlign w:val="top"/>
                </w:tcPr>
                <w:p w14:paraId="5B9FC402">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0.35%</w:t>
                  </w:r>
                </w:p>
              </w:tc>
            </w:tr>
            <w:tr w14:paraId="2E29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12DA51AE">
                  <w:pPr>
                    <w:pStyle w:val="64"/>
                    <w:keepNext w:val="0"/>
                    <w:keepLines w:val="0"/>
                    <w:pageBreakBefore w:val="0"/>
                    <w:widowControl w:val="0"/>
                    <w:kinsoku/>
                    <w:wordWrap/>
                    <w:overflowPunct/>
                    <w:topLinePunct w:val="0"/>
                    <w:autoSpaceDE/>
                    <w:autoSpaceDN/>
                    <w:bidi w:val="0"/>
                    <w:adjustRightInd/>
                    <w:spacing w:line="360" w:lineRule="auto"/>
                    <w:ind w:left="627" w:right="618"/>
                    <w:jc w:val="center"/>
                    <w:textAlignment w:val="auto"/>
                    <w:outlineLvl w:val="9"/>
                    <w:rPr>
                      <w:color w:val="000000"/>
                      <w:sz w:val="21"/>
                    </w:rPr>
                  </w:pPr>
                  <w:r>
                    <w:rPr>
                      <w:color w:val="000000"/>
                      <w:sz w:val="21"/>
                    </w:rPr>
                    <w:t>5000-10000</w:t>
                  </w:r>
                </w:p>
              </w:tc>
              <w:tc>
                <w:tcPr>
                  <w:tcW w:w="1134" w:type="dxa"/>
                  <w:noWrap w:val="0"/>
                  <w:vAlign w:val="top"/>
                </w:tcPr>
                <w:p w14:paraId="3542F9C6">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0.25%</w:t>
                  </w:r>
                </w:p>
              </w:tc>
              <w:tc>
                <w:tcPr>
                  <w:tcW w:w="1134" w:type="dxa"/>
                  <w:noWrap w:val="0"/>
                  <w:vAlign w:val="top"/>
                </w:tcPr>
                <w:p w14:paraId="2D1D812B">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0.1%</w:t>
                  </w:r>
                </w:p>
              </w:tc>
              <w:tc>
                <w:tcPr>
                  <w:tcW w:w="1134" w:type="dxa"/>
                  <w:noWrap w:val="0"/>
                  <w:vAlign w:val="top"/>
                </w:tcPr>
                <w:p w14:paraId="47CE197D">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0.2%</w:t>
                  </w:r>
                </w:p>
              </w:tc>
            </w:tr>
            <w:tr w14:paraId="32AFE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489D7795">
                  <w:pPr>
                    <w:pStyle w:val="64"/>
                    <w:keepNext w:val="0"/>
                    <w:keepLines w:val="0"/>
                    <w:pageBreakBefore w:val="0"/>
                    <w:widowControl w:val="0"/>
                    <w:kinsoku/>
                    <w:wordWrap/>
                    <w:overflowPunct/>
                    <w:topLinePunct w:val="0"/>
                    <w:autoSpaceDE/>
                    <w:autoSpaceDN/>
                    <w:bidi w:val="0"/>
                    <w:adjustRightInd/>
                    <w:spacing w:line="360" w:lineRule="auto"/>
                    <w:ind w:left="627" w:right="618"/>
                    <w:jc w:val="center"/>
                    <w:textAlignment w:val="auto"/>
                    <w:outlineLvl w:val="9"/>
                    <w:rPr>
                      <w:color w:val="000000"/>
                      <w:sz w:val="21"/>
                    </w:rPr>
                  </w:pPr>
                  <w:r>
                    <w:rPr>
                      <w:color w:val="000000"/>
                      <w:sz w:val="21"/>
                    </w:rPr>
                    <w:t>10000-100000</w:t>
                  </w:r>
                </w:p>
              </w:tc>
              <w:tc>
                <w:tcPr>
                  <w:tcW w:w="1134" w:type="dxa"/>
                  <w:noWrap w:val="0"/>
                  <w:vAlign w:val="top"/>
                </w:tcPr>
                <w:p w14:paraId="0632F336">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0.05%</w:t>
                  </w:r>
                </w:p>
              </w:tc>
              <w:tc>
                <w:tcPr>
                  <w:tcW w:w="1134" w:type="dxa"/>
                  <w:noWrap w:val="0"/>
                  <w:vAlign w:val="top"/>
                </w:tcPr>
                <w:p w14:paraId="3CFB65D0">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0.05%</w:t>
                  </w:r>
                </w:p>
              </w:tc>
              <w:tc>
                <w:tcPr>
                  <w:tcW w:w="1134" w:type="dxa"/>
                  <w:noWrap w:val="0"/>
                  <w:vAlign w:val="top"/>
                </w:tcPr>
                <w:p w14:paraId="4E1A4CDA">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0.05%</w:t>
                  </w:r>
                </w:p>
              </w:tc>
            </w:tr>
            <w:tr w14:paraId="6AC06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noWrap w:val="0"/>
                  <w:vAlign w:val="top"/>
                </w:tcPr>
                <w:p w14:paraId="22755F27">
                  <w:pPr>
                    <w:pStyle w:val="64"/>
                    <w:keepNext w:val="0"/>
                    <w:keepLines w:val="0"/>
                    <w:pageBreakBefore w:val="0"/>
                    <w:widowControl w:val="0"/>
                    <w:kinsoku/>
                    <w:wordWrap/>
                    <w:overflowPunct/>
                    <w:topLinePunct w:val="0"/>
                    <w:autoSpaceDE/>
                    <w:autoSpaceDN/>
                    <w:bidi w:val="0"/>
                    <w:adjustRightInd/>
                    <w:spacing w:line="360" w:lineRule="auto"/>
                    <w:ind w:left="624" w:right="618"/>
                    <w:jc w:val="center"/>
                    <w:textAlignment w:val="auto"/>
                    <w:outlineLvl w:val="9"/>
                    <w:rPr>
                      <w:color w:val="000000"/>
                      <w:sz w:val="21"/>
                    </w:rPr>
                  </w:pPr>
                  <w:r>
                    <w:rPr>
                      <w:color w:val="000000"/>
                      <w:sz w:val="21"/>
                    </w:rPr>
                    <w:t>100000 以上</w:t>
                  </w:r>
                </w:p>
              </w:tc>
              <w:tc>
                <w:tcPr>
                  <w:tcW w:w="1134" w:type="dxa"/>
                  <w:noWrap w:val="0"/>
                  <w:vAlign w:val="top"/>
                </w:tcPr>
                <w:p w14:paraId="0FBAAC7A">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0.01%</w:t>
                  </w:r>
                </w:p>
              </w:tc>
              <w:tc>
                <w:tcPr>
                  <w:tcW w:w="1134" w:type="dxa"/>
                  <w:noWrap w:val="0"/>
                  <w:vAlign w:val="top"/>
                </w:tcPr>
                <w:p w14:paraId="72B4FCCC">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0.01%</w:t>
                  </w:r>
                </w:p>
              </w:tc>
              <w:tc>
                <w:tcPr>
                  <w:tcW w:w="1134" w:type="dxa"/>
                  <w:noWrap w:val="0"/>
                  <w:vAlign w:val="top"/>
                </w:tcPr>
                <w:p w14:paraId="0F3EF70F">
                  <w:pPr>
                    <w:pStyle w:val="6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color w:val="000000"/>
                      <w:sz w:val="21"/>
                    </w:rPr>
                  </w:pPr>
                  <w:r>
                    <w:rPr>
                      <w:color w:val="000000"/>
                      <w:sz w:val="21"/>
                    </w:rPr>
                    <w:t>0.01%</w:t>
                  </w:r>
                </w:p>
              </w:tc>
            </w:tr>
          </w:tbl>
          <w:p w14:paraId="38BD09FE">
            <w:pPr>
              <w:autoSpaceDE w:val="0"/>
              <w:autoSpaceDN w:val="0"/>
              <w:adjustRightInd w:val="0"/>
              <w:spacing w:line="300" w:lineRule="exact"/>
              <w:rPr>
                <w:rFonts w:hint="eastAsia" w:ascii="宋体" w:hAnsi="宋体" w:eastAsia="宋体"/>
                <w:bCs/>
                <w:color w:val="auto"/>
                <w:sz w:val="21"/>
                <w:szCs w:val="21"/>
                <w:lang w:val="en-US" w:eastAsia="zh-CN"/>
              </w:rPr>
            </w:pPr>
          </w:p>
        </w:tc>
      </w:tr>
      <w:tr w14:paraId="50FE7F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ign w:val="center"/>
          </w:tcPr>
          <w:p w14:paraId="4B90356D">
            <w:pPr>
              <w:spacing w:line="300" w:lineRule="exact"/>
              <w:jc w:val="center"/>
              <w:rPr>
                <w:rFonts w:hint="eastAsia" w:ascii="宋体" w:hAnsi="宋体" w:eastAsia="宋体"/>
                <w:color w:val="auto"/>
                <w:sz w:val="24"/>
                <w:lang w:val="en-US" w:eastAsia="zh-CN"/>
              </w:rPr>
            </w:pPr>
            <w:r>
              <w:rPr>
                <w:rFonts w:hint="eastAsia" w:ascii="宋体" w:hAnsi="宋体"/>
                <w:color w:val="auto"/>
                <w:sz w:val="24"/>
              </w:rPr>
              <w:t>1</w:t>
            </w:r>
            <w:r>
              <w:rPr>
                <w:rFonts w:hint="eastAsia" w:ascii="宋体" w:hAnsi="宋体" w:eastAsia="宋体"/>
                <w:color w:val="auto"/>
                <w:sz w:val="24"/>
                <w:lang w:val="en-US" w:eastAsia="zh-CN"/>
              </w:rPr>
              <w:t>6</w:t>
            </w:r>
          </w:p>
        </w:tc>
        <w:tc>
          <w:tcPr>
            <w:tcW w:w="2019" w:type="dxa"/>
            <w:tcBorders>
              <w:top w:val="single" w:color="auto" w:sz="4" w:space="0"/>
            </w:tcBorders>
            <w:noWrap/>
            <w:vAlign w:val="center"/>
          </w:tcPr>
          <w:p w14:paraId="761DCEC3">
            <w:pPr>
              <w:autoSpaceDE w:val="0"/>
              <w:autoSpaceDN w:val="0"/>
              <w:adjustRightInd w:val="0"/>
              <w:spacing w:line="300" w:lineRule="exact"/>
              <w:jc w:val="center"/>
              <w:rPr>
                <w:rFonts w:ascii="宋体" w:hAnsi="宋体"/>
                <w:color w:val="auto"/>
                <w:sz w:val="21"/>
                <w:szCs w:val="21"/>
              </w:rPr>
            </w:pPr>
            <w:r>
              <w:rPr>
                <w:rFonts w:hint="eastAsia" w:ascii="宋体" w:hAnsi="宋体"/>
                <w:color w:val="auto"/>
                <w:sz w:val="21"/>
                <w:szCs w:val="21"/>
              </w:rPr>
              <w:t>解释权</w:t>
            </w:r>
          </w:p>
        </w:tc>
        <w:tc>
          <w:tcPr>
            <w:tcW w:w="6906" w:type="dxa"/>
            <w:tcBorders>
              <w:top w:val="single" w:color="auto" w:sz="4" w:space="0"/>
            </w:tcBorders>
            <w:noWrap/>
            <w:vAlign w:val="center"/>
          </w:tcPr>
          <w:p w14:paraId="3999DE45">
            <w:pPr>
              <w:autoSpaceDE w:val="0"/>
              <w:autoSpaceDN w:val="0"/>
              <w:adjustRightInd w:val="0"/>
              <w:spacing w:line="300" w:lineRule="exact"/>
              <w:rPr>
                <w:rFonts w:ascii="宋体" w:hAnsi="宋体"/>
                <w:color w:val="auto"/>
                <w:sz w:val="21"/>
                <w:szCs w:val="21"/>
              </w:rPr>
            </w:pPr>
            <w:r>
              <w:rPr>
                <w:rFonts w:hint="eastAsia" w:ascii="宋体" w:hAnsi="宋体"/>
                <w:color w:val="auto"/>
                <w:sz w:val="21"/>
                <w:szCs w:val="21"/>
              </w:rPr>
              <w:t>本磋商文件解释权属于采购人和采购代理机构。</w:t>
            </w:r>
          </w:p>
        </w:tc>
      </w:tr>
    </w:tbl>
    <w:p w14:paraId="2F530755">
      <w:pPr>
        <w:shd w:val="clear" w:color="auto" w:fill="auto"/>
        <w:spacing w:line="360" w:lineRule="auto"/>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其余事项：中标供应商如有融资需求，可使用以下银行的政采贷服务。</w:t>
      </w:r>
    </w:p>
    <w:p w14:paraId="0CF47F0A">
      <w:pPr>
        <w:shd w:val="clear" w:color="auto" w:fill="auto"/>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合同保函联系方式</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1717"/>
        <w:gridCol w:w="1475"/>
        <w:gridCol w:w="3224"/>
      </w:tblGrid>
      <w:tr w14:paraId="3D87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0DE6232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银行</w:t>
            </w:r>
          </w:p>
        </w:tc>
        <w:tc>
          <w:tcPr>
            <w:tcW w:w="1717" w:type="dxa"/>
            <w:noWrap w:val="0"/>
            <w:vAlign w:val="center"/>
          </w:tcPr>
          <w:p w14:paraId="08A5352D">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贷款年利率</w:t>
            </w:r>
          </w:p>
        </w:tc>
        <w:tc>
          <w:tcPr>
            <w:tcW w:w="1475" w:type="dxa"/>
            <w:noWrap w:val="0"/>
            <w:vAlign w:val="center"/>
          </w:tcPr>
          <w:p w14:paraId="35D3862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联系人</w:t>
            </w:r>
          </w:p>
        </w:tc>
        <w:tc>
          <w:tcPr>
            <w:tcW w:w="3224" w:type="dxa"/>
            <w:noWrap w:val="0"/>
            <w:vAlign w:val="center"/>
          </w:tcPr>
          <w:p w14:paraId="587C26F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联系电话</w:t>
            </w:r>
          </w:p>
        </w:tc>
      </w:tr>
      <w:tr w14:paraId="3598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6B04F279">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中国工商银行</w:t>
            </w:r>
          </w:p>
        </w:tc>
        <w:tc>
          <w:tcPr>
            <w:tcW w:w="1717" w:type="dxa"/>
            <w:noWrap w:val="0"/>
            <w:vAlign w:val="center"/>
          </w:tcPr>
          <w:p w14:paraId="7A469E3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3.8%起</w:t>
            </w:r>
          </w:p>
        </w:tc>
        <w:tc>
          <w:tcPr>
            <w:tcW w:w="1475" w:type="dxa"/>
            <w:noWrap w:val="0"/>
            <w:vAlign w:val="center"/>
          </w:tcPr>
          <w:p w14:paraId="267E091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王霖</w:t>
            </w:r>
          </w:p>
        </w:tc>
        <w:tc>
          <w:tcPr>
            <w:tcW w:w="3224" w:type="dxa"/>
            <w:noWrap w:val="0"/>
            <w:vAlign w:val="center"/>
          </w:tcPr>
          <w:p w14:paraId="5F47B95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88588246/13857654562</w:t>
            </w:r>
          </w:p>
        </w:tc>
      </w:tr>
      <w:tr w14:paraId="62E7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3493FE6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中国农业银行</w:t>
            </w:r>
          </w:p>
        </w:tc>
        <w:tc>
          <w:tcPr>
            <w:tcW w:w="1717" w:type="dxa"/>
            <w:noWrap w:val="0"/>
            <w:vAlign w:val="center"/>
          </w:tcPr>
          <w:p w14:paraId="4B51BA07">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3.8%起</w:t>
            </w:r>
          </w:p>
        </w:tc>
        <w:tc>
          <w:tcPr>
            <w:tcW w:w="1475" w:type="dxa"/>
            <w:noWrap w:val="0"/>
            <w:vAlign w:val="center"/>
          </w:tcPr>
          <w:p w14:paraId="7C8425D7">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龚盛</w:t>
            </w:r>
          </w:p>
        </w:tc>
        <w:tc>
          <w:tcPr>
            <w:tcW w:w="3224" w:type="dxa"/>
            <w:noWrap w:val="0"/>
            <w:vAlign w:val="center"/>
          </w:tcPr>
          <w:p w14:paraId="4B547A3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15858682216</w:t>
            </w:r>
          </w:p>
        </w:tc>
      </w:tr>
      <w:tr w14:paraId="1610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0E55667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中国建设银行</w:t>
            </w:r>
          </w:p>
        </w:tc>
        <w:tc>
          <w:tcPr>
            <w:tcW w:w="1717" w:type="dxa"/>
            <w:noWrap w:val="0"/>
            <w:vAlign w:val="center"/>
          </w:tcPr>
          <w:p w14:paraId="4ACAF9FD">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3.8%起</w:t>
            </w:r>
          </w:p>
        </w:tc>
        <w:tc>
          <w:tcPr>
            <w:tcW w:w="1475" w:type="dxa"/>
            <w:noWrap w:val="0"/>
            <w:vAlign w:val="center"/>
          </w:tcPr>
          <w:p w14:paraId="4B8845CA">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梅晶晶</w:t>
            </w:r>
          </w:p>
        </w:tc>
        <w:tc>
          <w:tcPr>
            <w:tcW w:w="3224" w:type="dxa"/>
            <w:noWrap w:val="0"/>
            <w:vAlign w:val="center"/>
          </w:tcPr>
          <w:p w14:paraId="081FE69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88525339/13736585303</w:t>
            </w:r>
          </w:p>
        </w:tc>
      </w:tr>
      <w:tr w14:paraId="2EAF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6952806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中国银行</w:t>
            </w:r>
          </w:p>
        </w:tc>
        <w:tc>
          <w:tcPr>
            <w:tcW w:w="1717" w:type="dxa"/>
            <w:noWrap w:val="0"/>
            <w:vAlign w:val="center"/>
          </w:tcPr>
          <w:p w14:paraId="5AFDAE21">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3.75%起</w:t>
            </w:r>
          </w:p>
        </w:tc>
        <w:tc>
          <w:tcPr>
            <w:tcW w:w="1475" w:type="dxa"/>
            <w:noWrap w:val="0"/>
            <w:vAlign w:val="center"/>
          </w:tcPr>
          <w:p w14:paraId="402736C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任茜</w:t>
            </w:r>
          </w:p>
        </w:tc>
        <w:tc>
          <w:tcPr>
            <w:tcW w:w="3224" w:type="dxa"/>
            <w:noWrap w:val="0"/>
            <w:vAlign w:val="center"/>
          </w:tcPr>
          <w:p w14:paraId="6688241A">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13857695378</w:t>
            </w:r>
          </w:p>
        </w:tc>
      </w:tr>
      <w:tr w14:paraId="2843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57B139A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浦发银行台州分行</w:t>
            </w:r>
          </w:p>
        </w:tc>
        <w:tc>
          <w:tcPr>
            <w:tcW w:w="1717" w:type="dxa"/>
            <w:noWrap w:val="0"/>
            <w:vAlign w:val="center"/>
          </w:tcPr>
          <w:p w14:paraId="476867BD">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4.05%起</w:t>
            </w:r>
          </w:p>
        </w:tc>
        <w:tc>
          <w:tcPr>
            <w:tcW w:w="1475" w:type="dxa"/>
            <w:noWrap w:val="0"/>
            <w:vAlign w:val="center"/>
          </w:tcPr>
          <w:p w14:paraId="384E6662">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王渊</w:t>
            </w:r>
          </w:p>
        </w:tc>
        <w:tc>
          <w:tcPr>
            <w:tcW w:w="3224" w:type="dxa"/>
            <w:noWrap w:val="0"/>
            <w:vAlign w:val="center"/>
          </w:tcPr>
          <w:p w14:paraId="0A6D09B7">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13616676319</w:t>
            </w:r>
          </w:p>
        </w:tc>
      </w:tr>
      <w:tr w14:paraId="3E18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6264770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浦发银行椒江分行</w:t>
            </w:r>
          </w:p>
        </w:tc>
        <w:tc>
          <w:tcPr>
            <w:tcW w:w="1717" w:type="dxa"/>
            <w:noWrap w:val="0"/>
            <w:vAlign w:val="center"/>
          </w:tcPr>
          <w:p w14:paraId="5B2FD65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4.05%起</w:t>
            </w:r>
          </w:p>
        </w:tc>
        <w:tc>
          <w:tcPr>
            <w:tcW w:w="1475" w:type="dxa"/>
            <w:noWrap w:val="0"/>
            <w:vAlign w:val="center"/>
          </w:tcPr>
          <w:p w14:paraId="4268C41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孙瑞华</w:t>
            </w:r>
          </w:p>
        </w:tc>
        <w:tc>
          <w:tcPr>
            <w:tcW w:w="3224" w:type="dxa"/>
            <w:noWrap w:val="0"/>
            <w:vAlign w:val="center"/>
          </w:tcPr>
          <w:p w14:paraId="2597E81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13857688081</w:t>
            </w:r>
          </w:p>
        </w:tc>
      </w:tr>
      <w:tr w14:paraId="2737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78672E0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交通银行台州分行</w:t>
            </w:r>
          </w:p>
        </w:tc>
        <w:tc>
          <w:tcPr>
            <w:tcW w:w="1717" w:type="dxa"/>
            <w:noWrap w:val="0"/>
            <w:vAlign w:val="center"/>
          </w:tcPr>
          <w:p w14:paraId="6CC460A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3.75%起</w:t>
            </w:r>
          </w:p>
        </w:tc>
        <w:tc>
          <w:tcPr>
            <w:tcW w:w="1475" w:type="dxa"/>
            <w:noWrap w:val="0"/>
            <w:vAlign w:val="center"/>
          </w:tcPr>
          <w:p w14:paraId="779EFD62">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周翔宇</w:t>
            </w:r>
          </w:p>
        </w:tc>
        <w:tc>
          <w:tcPr>
            <w:tcW w:w="3224" w:type="dxa"/>
            <w:noWrap w:val="0"/>
            <w:vAlign w:val="center"/>
          </w:tcPr>
          <w:p w14:paraId="23ECCE1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13867697018</w:t>
            </w:r>
          </w:p>
        </w:tc>
      </w:tr>
      <w:tr w14:paraId="0777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0712166D">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招商银行台州分行</w:t>
            </w:r>
          </w:p>
        </w:tc>
        <w:tc>
          <w:tcPr>
            <w:tcW w:w="1717" w:type="dxa"/>
            <w:noWrap w:val="0"/>
            <w:vAlign w:val="center"/>
          </w:tcPr>
          <w:p w14:paraId="0ADB5538">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4.32%起</w:t>
            </w:r>
          </w:p>
        </w:tc>
        <w:tc>
          <w:tcPr>
            <w:tcW w:w="1475" w:type="dxa"/>
            <w:noWrap w:val="0"/>
            <w:vAlign w:val="center"/>
          </w:tcPr>
          <w:p w14:paraId="4BF398C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王海玲</w:t>
            </w:r>
          </w:p>
        </w:tc>
        <w:tc>
          <w:tcPr>
            <w:tcW w:w="3224" w:type="dxa"/>
            <w:noWrap w:val="0"/>
            <w:vAlign w:val="center"/>
          </w:tcPr>
          <w:p w14:paraId="7BD314A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13566413827</w:t>
            </w:r>
          </w:p>
        </w:tc>
      </w:tr>
      <w:tr w14:paraId="5280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7CC0223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浙商银行台州分行</w:t>
            </w:r>
          </w:p>
        </w:tc>
        <w:tc>
          <w:tcPr>
            <w:tcW w:w="1717" w:type="dxa"/>
            <w:noWrap w:val="0"/>
            <w:vAlign w:val="center"/>
          </w:tcPr>
          <w:p w14:paraId="216DF5A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5.01%起</w:t>
            </w:r>
          </w:p>
        </w:tc>
        <w:tc>
          <w:tcPr>
            <w:tcW w:w="1475" w:type="dxa"/>
            <w:noWrap w:val="0"/>
            <w:vAlign w:val="center"/>
          </w:tcPr>
          <w:p w14:paraId="656E60C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章涉漪</w:t>
            </w:r>
          </w:p>
        </w:tc>
        <w:tc>
          <w:tcPr>
            <w:tcW w:w="3224" w:type="dxa"/>
            <w:noWrap w:val="0"/>
            <w:vAlign w:val="center"/>
          </w:tcPr>
          <w:p w14:paraId="3563054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81880185/13606681262</w:t>
            </w:r>
          </w:p>
        </w:tc>
      </w:tr>
      <w:tr w14:paraId="206C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157FC80B">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中信银行台州分行</w:t>
            </w:r>
          </w:p>
        </w:tc>
        <w:tc>
          <w:tcPr>
            <w:tcW w:w="1717" w:type="dxa"/>
            <w:noWrap w:val="0"/>
            <w:vAlign w:val="center"/>
          </w:tcPr>
          <w:p w14:paraId="4FA2827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4.15%起</w:t>
            </w:r>
          </w:p>
        </w:tc>
        <w:tc>
          <w:tcPr>
            <w:tcW w:w="1475" w:type="dxa"/>
            <w:noWrap w:val="0"/>
            <w:vAlign w:val="center"/>
          </w:tcPr>
          <w:p w14:paraId="30A69661">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陈金园</w:t>
            </w:r>
          </w:p>
        </w:tc>
        <w:tc>
          <w:tcPr>
            <w:tcW w:w="3224" w:type="dxa"/>
            <w:noWrap w:val="0"/>
            <w:vAlign w:val="center"/>
          </w:tcPr>
          <w:p w14:paraId="5FF0C3EA">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13586052161</w:t>
            </w:r>
          </w:p>
        </w:tc>
      </w:tr>
      <w:tr w14:paraId="5470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1CAFDE6A">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华夏银行台州分行</w:t>
            </w:r>
          </w:p>
        </w:tc>
        <w:tc>
          <w:tcPr>
            <w:tcW w:w="1717" w:type="dxa"/>
            <w:noWrap w:val="0"/>
            <w:vAlign w:val="center"/>
          </w:tcPr>
          <w:p w14:paraId="57DCD72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4.5%起</w:t>
            </w:r>
          </w:p>
        </w:tc>
        <w:tc>
          <w:tcPr>
            <w:tcW w:w="1475" w:type="dxa"/>
            <w:noWrap w:val="0"/>
            <w:vAlign w:val="center"/>
          </w:tcPr>
          <w:p w14:paraId="67906109">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邱明达</w:t>
            </w:r>
          </w:p>
        </w:tc>
        <w:tc>
          <w:tcPr>
            <w:tcW w:w="3224" w:type="dxa"/>
            <w:noWrap w:val="0"/>
            <w:vAlign w:val="center"/>
          </w:tcPr>
          <w:p w14:paraId="65CD3A5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81871518/13736252233</w:t>
            </w:r>
          </w:p>
        </w:tc>
      </w:tr>
      <w:tr w14:paraId="5817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34B6FB7D">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泰隆银行开发区支行</w:t>
            </w:r>
          </w:p>
        </w:tc>
        <w:tc>
          <w:tcPr>
            <w:tcW w:w="1717" w:type="dxa"/>
            <w:noWrap w:val="0"/>
            <w:vAlign w:val="center"/>
          </w:tcPr>
          <w:p w14:paraId="1CBB643B">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5.6%起</w:t>
            </w:r>
          </w:p>
        </w:tc>
        <w:tc>
          <w:tcPr>
            <w:tcW w:w="1475" w:type="dxa"/>
            <w:noWrap w:val="0"/>
            <w:vAlign w:val="center"/>
          </w:tcPr>
          <w:p w14:paraId="5F0ABC34">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梁宛莉</w:t>
            </w:r>
          </w:p>
        </w:tc>
        <w:tc>
          <w:tcPr>
            <w:tcW w:w="3224" w:type="dxa"/>
            <w:noWrap w:val="0"/>
            <w:vAlign w:val="center"/>
          </w:tcPr>
          <w:p w14:paraId="331934FF">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13306869100</w:t>
            </w:r>
          </w:p>
        </w:tc>
      </w:tr>
      <w:tr w14:paraId="6DFC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49891BC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民泰银行椒江支行</w:t>
            </w:r>
          </w:p>
        </w:tc>
        <w:tc>
          <w:tcPr>
            <w:tcW w:w="1717" w:type="dxa"/>
            <w:noWrap w:val="0"/>
            <w:vAlign w:val="center"/>
          </w:tcPr>
          <w:p w14:paraId="181A8052">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5.8%起</w:t>
            </w:r>
          </w:p>
        </w:tc>
        <w:tc>
          <w:tcPr>
            <w:tcW w:w="1475" w:type="dxa"/>
            <w:noWrap w:val="0"/>
            <w:vAlign w:val="center"/>
          </w:tcPr>
          <w:p w14:paraId="63F102CB">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陈慧珠</w:t>
            </w:r>
          </w:p>
        </w:tc>
        <w:tc>
          <w:tcPr>
            <w:tcW w:w="3224" w:type="dxa"/>
            <w:noWrap w:val="0"/>
            <w:vAlign w:val="center"/>
          </w:tcPr>
          <w:p w14:paraId="0AFBD6A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13857699669</w:t>
            </w:r>
          </w:p>
        </w:tc>
      </w:tr>
      <w:tr w14:paraId="02CD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478A81A7">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绍兴银行台州分行</w:t>
            </w:r>
          </w:p>
        </w:tc>
        <w:tc>
          <w:tcPr>
            <w:tcW w:w="1717" w:type="dxa"/>
            <w:noWrap w:val="0"/>
            <w:vAlign w:val="center"/>
          </w:tcPr>
          <w:p w14:paraId="3C9177A7">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5.1%起</w:t>
            </w:r>
          </w:p>
        </w:tc>
        <w:tc>
          <w:tcPr>
            <w:tcW w:w="1475" w:type="dxa"/>
            <w:noWrap w:val="0"/>
            <w:vAlign w:val="center"/>
          </w:tcPr>
          <w:p w14:paraId="09C78253">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郭庭斌</w:t>
            </w:r>
          </w:p>
        </w:tc>
        <w:tc>
          <w:tcPr>
            <w:tcW w:w="3224" w:type="dxa"/>
            <w:noWrap w:val="0"/>
            <w:vAlign w:val="center"/>
          </w:tcPr>
          <w:p w14:paraId="3D9EBC3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15958633119</w:t>
            </w:r>
          </w:p>
        </w:tc>
      </w:tr>
      <w:tr w14:paraId="3EFB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7A0AAAC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温州银行台州分行</w:t>
            </w:r>
          </w:p>
        </w:tc>
        <w:tc>
          <w:tcPr>
            <w:tcW w:w="1717" w:type="dxa"/>
            <w:noWrap w:val="0"/>
            <w:vAlign w:val="center"/>
          </w:tcPr>
          <w:p w14:paraId="16DEF2A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4.55%起</w:t>
            </w:r>
          </w:p>
        </w:tc>
        <w:tc>
          <w:tcPr>
            <w:tcW w:w="1475" w:type="dxa"/>
            <w:noWrap w:val="0"/>
            <w:vAlign w:val="center"/>
          </w:tcPr>
          <w:p w14:paraId="745F31B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王晓波</w:t>
            </w:r>
          </w:p>
        </w:tc>
        <w:tc>
          <w:tcPr>
            <w:tcW w:w="3224" w:type="dxa"/>
            <w:noWrap w:val="0"/>
            <w:vAlign w:val="center"/>
          </w:tcPr>
          <w:p w14:paraId="3FC13A5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15824005475</w:t>
            </w:r>
          </w:p>
        </w:tc>
      </w:tr>
      <w:tr w14:paraId="5413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30263FD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平安银行台州分行</w:t>
            </w:r>
          </w:p>
        </w:tc>
        <w:tc>
          <w:tcPr>
            <w:tcW w:w="1717" w:type="dxa"/>
            <w:noWrap w:val="0"/>
            <w:vAlign w:val="center"/>
          </w:tcPr>
          <w:p w14:paraId="2852AA3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6.53%起</w:t>
            </w:r>
          </w:p>
        </w:tc>
        <w:tc>
          <w:tcPr>
            <w:tcW w:w="1475" w:type="dxa"/>
            <w:noWrap w:val="0"/>
            <w:vAlign w:val="center"/>
          </w:tcPr>
          <w:p w14:paraId="5E0A65F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李俊丽</w:t>
            </w:r>
          </w:p>
        </w:tc>
        <w:tc>
          <w:tcPr>
            <w:tcW w:w="3224" w:type="dxa"/>
            <w:noWrap w:val="0"/>
            <w:vAlign w:val="center"/>
          </w:tcPr>
          <w:p w14:paraId="3D88AA0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15906861025</w:t>
            </w:r>
          </w:p>
        </w:tc>
      </w:tr>
      <w:tr w14:paraId="1F84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1CEC2238">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宁波银行台州分行</w:t>
            </w:r>
          </w:p>
        </w:tc>
        <w:tc>
          <w:tcPr>
            <w:tcW w:w="1717" w:type="dxa"/>
            <w:noWrap w:val="0"/>
            <w:vAlign w:val="center"/>
          </w:tcPr>
          <w:p w14:paraId="651A7D03">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4.35%起</w:t>
            </w:r>
          </w:p>
        </w:tc>
        <w:tc>
          <w:tcPr>
            <w:tcW w:w="1475" w:type="dxa"/>
            <w:noWrap w:val="0"/>
            <w:vAlign w:val="center"/>
          </w:tcPr>
          <w:p w14:paraId="74C9B7C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戴莉丽</w:t>
            </w:r>
          </w:p>
        </w:tc>
        <w:tc>
          <w:tcPr>
            <w:tcW w:w="3224" w:type="dxa"/>
            <w:noWrap w:val="0"/>
            <w:vAlign w:val="center"/>
          </w:tcPr>
          <w:p w14:paraId="24D1A18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13566627207</w:t>
            </w:r>
          </w:p>
        </w:tc>
      </w:tr>
      <w:tr w14:paraId="2E77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75ABC54E">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金华银行台州分行</w:t>
            </w:r>
          </w:p>
        </w:tc>
        <w:tc>
          <w:tcPr>
            <w:tcW w:w="1717" w:type="dxa"/>
            <w:noWrap w:val="0"/>
            <w:vAlign w:val="center"/>
          </w:tcPr>
          <w:p w14:paraId="411E0468">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4.05%起</w:t>
            </w:r>
          </w:p>
        </w:tc>
        <w:tc>
          <w:tcPr>
            <w:tcW w:w="1475" w:type="dxa"/>
            <w:noWrap w:val="0"/>
            <w:vAlign w:val="center"/>
          </w:tcPr>
          <w:p w14:paraId="23E78DEC">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金雪婷</w:t>
            </w:r>
          </w:p>
        </w:tc>
        <w:tc>
          <w:tcPr>
            <w:tcW w:w="3224" w:type="dxa"/>
            <w:noWrap w:val="0"/>
            <w:vAlign w:val="center"/>
          </w:tcPr>
          <w:p w14:paraId="4BA3C00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81886670/15968661569</w:t>
            </w:r>
          </w:p>
        </w:tc>
      </w:tr>
      <w:tr w14:paraId="3C32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82" w:type="dxa"/>
            <w:noWrap w:val="0"/>
            <w:vAlign w:val="center"/>
          </w:tcPr>
          <w:p w14:paraId="60577890">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台州银行</w:t>
            </w:r>
          </w:p>
        </w:tc>
        <w:tc>
          <w:tcPr>
            <w:tcW w:w="1717" w:type="dxa"/>
            <w:noWrap w:val="0"/>
            <w:vAlign w:val="center"/>
          </w:tcPr>
          <w:p w14:paraId="1D8D7FC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5.6%起</w:t>
            </w:r>
          </w:p>
        </w:tc>
        <w:tc>
          <w:tcPr>
            <w:tcW w:w="1475" w:type="dxa"/>
            <w:noWrap w:val="0"/>
            <w:vAlign w:val="center"/>
          </w:tcPr>
          <w:p w14:paraId="0B8C533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洪婷</w:t>
            </w:r>
          </w:p>
        </w:tc>
        <w:tc>
          <w:tcPr>
            <w:tcW w:w="3224" w:type="dxa"/>
            <w:noWrap w:val="0"/>
            <w:vAlign w:val="center"/>
          </w:tcPr>
          <w:p w14:paraId="24EA15F8">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15858624999</w:t>
            </w:r>
          </w:p>
        </w:tc>
      </w:tr>
      <w:tr w14:paraId="05AB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2" w:type="dxa"/>
            <w:noWrap w:val="0"/>
            <w:vAlign w:val="center"/>
          </w:tcPr>
          <w:p w14:paraId="02BBF848">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邮储银行台州分行</w:t>
            </w:r>
          </w:p>
        </w:tc>
        <w:tc>
          <w:tcPr>
            <w:tcW w:w="1717" w:type="dxa"/>
            <w:noWrap w:val="0"/>
            <w:vAlign w:val="center"/>
          </w:tcPr>
          <w:p w14:paraId="552A6A29">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3.85%起</w:t>
            </w:r>
          </w:p>
        </w:tc>
        <w:tc>
          <w:tcPr>
            <w:tcW w:w="1475" w:type="dxa"/>
            <w:noWrap w:val="0"/>
            <w:vAlign w:val="center"/>
          </w:tcPr>
          <w:p w14:paraId="53F07CD6">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董庆</w:t>
            </w:r>
          </w:p>
        </w:tc>
        <w:tc>
          <w:tcPr>
            <w:tcW w:w="3224" w:type="dxa"/>
            <w:noWrap w:val="0"/>
            <w:vAlign w:val="center"/>
          </w:tcPr>
          <w:p w14:paraId="1303A555">
            <w:pPr>
              <w:shd w:val="clear" w:color="auto" w:fill="auto"/>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81888982/18957683735</w:t>
            </w:r>
          </w:p>
        </w:tc>
      </w:tr>
    </w:tbl>
    <w:p w14:paraId="76D5F931">
      <w:pPr>
        <w:pStyle w:val="39"/>
        <w:shd w:val="clear" w:color="auto" w:fill="auto"/>
        <w:spacing w:line="360" w:lineRule="auto"/>
        <w:rPr>
          <w:rFonts w:hint="eastAsia" w:ascii="宋体" w:hAnsi="宋体" w:cs="宋体"/>
          <w:color w:val="auto"/>
          <w:sz w:val="21"/>
          <w:szCs w:val="21"/>
          <w:highlight w:val="none"/>
        </w:rPr>
      </w:pPr>
    </w:p>
    <w:p w14:paraId="4F1CDEDB">
      <w:pPr>
        <w:shd w:val="clear" w:color="auto" w:fill="auto"/>
        <w:spacing w:line="360" w:lineRule="auto"/>
        <w:ind w:firstLine="735" w:firstLineChars="35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合同履约保函联系方式</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77"/>
        <w:gridCol w:w="2527"/>
        <w:gridCol w:w="1099"/>
        <w:gridCol w:w="1715"/>
      </w:tblGrid>
      <w:tr w14:paraId="45DA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177" w:type="dxa"/>
            <w:noWrap w:val="0"/>
            <w:vAlign w:val="center"/>
          </w:tcPr>
          <w:p w14:paraId="1648B469">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保险公司名称</w:t>
            </w:r>
          </w:p>
        </w:tc>
        <w:tc>
          <w:tcPr>
            <w:tcW w:w="2527" w:type="dxa"/>
            <w:noWrap w:val="0"/>
            <w:vAlign w:val="center"/>
          </w:tcPr>
          <w:p w14:paraId="572EBD5C">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保费率</w:t>
            </w:r>
          </w:p>
        </w:tc>
        <w:tc>
          <w:tcPr>
            <w:tcW w:w="1099" w:type="dxa"/>
            <w:noWrap w:val="0"/>
            <w:vAlign w:val="center"/>
          </w:tcPr>
          <w:p w14:paraId="259C287C">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p>
        </w:tc>
        <w:tc>
          <w:tcPr>
            <w:tcW w:w="1715" w:type="dxa"/>
            <w:noWrap w:val="0"/>
            <w:vAlign w:val="center"/>
          </w:tcPr>
          <w:p w14:paraId="3E061550">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tc>
      </w:tr>
      <w:tr w14:paraId="0CADB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1F7616F1">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中国人寿财产保险股份有限公司台州中心支公司</w:t>
            </w:r>
          </w:p>
        </w:tc>
        <w:tc>
          <w:tcPr>
            <w:tcW w:w="2527" w:type="dxa"/>
            <w:noWrap w:val="0"/>
            <w:vAlign w:val="center"/>
          </w:tcPr>
          <w:p w14:paraId="10D60A04">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年费率1%，最低保费500元</w:t>
            </w:r>
          </w:p>
        </w:tc>
        <w:tc>
          <w:tcPr>
            <w:tcW w:w="1099" w:type="dxa"/>
            <w:noWrap w:val="0"/>
            <w:vAlign w:val="center"/>
          </w:tcPr>
          <w:p w14:paraId="65133B10">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徐凌</w:t>
            </w:r>
          </w:p>
        </w:tc>
        <w:tc>
          <w:tcPr>
            <w:tcW w:w="1715" w:type="dxa"/>
            <w:noWrap w:val="0"/>
            <w:vAlign w:val="center"/>
          </w:tcPr>
          <w:p w14:paraId="114BCAC6">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13905168070</w:t>
            </w:r>
          </w:p>
        </w:tc>
      </w:tr>
      <w:tr w14:paraId="30FC6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408CEA0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永诚财产保险股份有限公司台州分公司</w:t>
            </w:r>
          </w:p>
        </w:tc>
        <w:tc>
          <w:tcPr>
            <w:tcW w:w="2527" w:type="dxa"/>
            <w:noWrap w:val="0"/>
            <w:vAlign w:val="center"/>
          </w:tcPr>
          <w:p w14:paraId="52C284FE">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年费率1%，最低保费1000元</w:t>
            </w:r>
          </w:p>
        </w:tc>
        <w:tc>
          <w:tcPr>
            <w:tcW w:w="1099" w:type="dxa"/>
            <w:noWrap w:val="0"/>
            <w:vAlign w:val="center"/>
          </w:tcPr>
          <w:p w14:paraId="78E3CDBA">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尹刚强</w:t>
            </w:r>
          </w:p>
        </w:tc>
        <w:tc>
          <w:tcPr>
            <w:tcW w:w="1715" w:type="dxa"/>
            <w:noWrap w:val="0"/>
            <w:vAlign w:val="center"/>
          </w:tcPr>
          <w:p w14:paraId="24F28344">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13750668184</w:t>
            </w:r>
          </w:p>
        </w:tc>
      </w:tr>
      <w:tr w14:paraId="60F09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4100CBC4">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华泰财产保险有限公司台州中心支公司</w:t>
            </w:r>
          </w:p>
        </w:tc>
        <w:tc>
          <w:tcPr>
            <w:tcW w:w="2527" w:type="dxa"/>
            <w:noWrap w:val="0"/>
            <w:vAlign w:val="center"/>
          </w:tcPr>
          <w:p w14:paraId="604755F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年费率0.5%，最低保费1000元</w:t>
            </w:r>
          </w:p>
        </w:tc>
        <w:tc>
          <w:tcPr>
            <w:tcW w:w="1099" w:type="dxa"/>
            <w:noWrap w:val="0"/>
            <w:vAlign w:val="center"/>
          </w:tcPr>
          <w:p w14:paraId="1696FCF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王灵芳</w:t>
            </w:r>
          </w:p>
        </w:tc>
        <w:tc>
          <w:tcPr>
            <w:tcW w:w="1715" w:type="dxa"/>
            <w:noWrap w:val="0"/>
            <w:vAlign w:val="center"/>
          </w:tcPr>
          <w:p w14:paraId="2364B1B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88869818 13586123199</w:t>
            </w:r>
          </w:p>
        </w:tc>
      </w:tr>
      <w:tr w14:paraId="3DC4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74450B0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中国大地财产保险股份有限公司台州中心支公司</w:t>
            </w:r>
          </w:p>
        </w:tc>
        <w:tc>
          <w:tcPr>
            <w:tcW w:w="2527" w:type="dxa"/>
            <w:noWrap w:val="0"/>
            <w:vAlign w:val="center"/>
          </w:tcPr>
          <w:p w14:paraId="1F59BC5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年费率1.5%，最低保费1000元</w:t>
            </w:r>
          </w:p>
        </w:tc>
        <w:tc>
          <w:tcPr>
            <w:tcW w:w="1099" w:type="dxa"/>
            <w:noWrap w:val="0"/>
            <w:vAlign w:val="center"/>
          </w:tcPr>
          <w:p w14:paraId="6726ADE6">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徐小明</w:t>
            </w:r>
          </w:p>
        </w:tc>
        <w:tc>
          <w:tcPr>
            <w:tcW w:w="1715" w:type="dxa"/>
            <w:noWrap w:val="0"/>
            <w:vAlign w:val="center"/>
          </w:tcPr>
          <w:p w14:paraId="0E9E0F07">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88552788      13968603112</w:t>
            </w:r>
          </w:p>
        </w:tc>
      </w:tr>
      <w:tr w14:paraId="72A1D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42EE1E44">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阳光保险台州中心支公司</w:t>
            </w:r>
          </w:p>
        </w:tc>
        <w:tc>
          <w:tcPr>
            <w:tcW w:w="2527" w:type="dxa"/>
            <w:noWrap w:val="0"/>
            <w:vAlign w:val="center"/>
          </w:tcPr>
          <w:p w14:paraId="0856D34C">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年费率1%，最低保费500元</w:t>
            </w:r>
          </w:p>
        </w:tc>
        <w:tc>
          <w:tcPr>
            <w:tcW w:w="1099" w:type="dxa"/>
            <w:noWrap w:val="0"/>
            <w:vAlign w:val="center"/>
          </w:tcPr>
          <w:p w14:paraId="424BF7A0">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林高明</w:t>
            </w:r>
          </w:p>
        </w:tc>
        <w:tc>
          <w:tcPr>
            <w:tcW w:w="1715" w:type="dxa"/>
            <w:noWrap w:val="0"/>
            <w:vAlign w:val="center"/>
          </w:tcPr>
          <w:p w14:paraId="6B9A41C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15888682693</w:t>
            </w:r>
          </w:p>
        </w:tc>
      </w:tr>
      <w:tr w14:paraId="01D53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184F415B">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中华联合财产保险股份有限公司台州中心支公司</w:t>
            </w:r>
          </w:p>
        </w:tc>
        <w:tc>
          <w:tcPr>
            <w:tcW w:w="2527" w:type="dxa"/>
            <w:noWrap w:val="0"/>
            <w:vAlign w:val="center"/>
          </w:tcPr>
          <w:p w14:paraId="6B429F41">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年费率2%，最低保费500元</w:t>
            </w:r>
          </w:p>
        </w:tc>
        <w:tc>
          <w:tcPr>
            <w:tcW w:w="1099" w:type="dxa"/>
            <w:noWrap w:val="0"/>
            <w:vAlign w:val="center"/>
          </w:tcPr>
          <w:p w14:paraId="1E03A28D">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王仙高</w:t>
            </w:r>
          </w:p>
        </w:tc>
        <w:tc>
          <w:tcPr>
            <w:tcW w:w="1715" w:type="dxa"/>
            <w:noWrap w:val="0"/>
            <w:vAlign w:val="center"/>
          </w:tcPr>
          <w:p w14:paraId="2AD8080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13858600221</w:t>
            </w:r>
          </w:p>
        </w:tc>
      </w:tr>
      <w:tr w14:paraId="75D3D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177" w:type="dxa"/>
            <w:noWrap w:val="0"/>
            <w:vAlign w:val="center"/>
          </w:tcPr>
          <w:p w14:paraId="0B5186E7">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中国人民财产保险股份有限公司台州中心支公司</w:t>
            </w:r>
          </w:p>
        </w:tc>
        <w:tc>
          <w:tcPr>
            <w:tcW w:w="2527" w:type="dxa"/>
            <w:noWrap w:val="0"/>
            <w:vAlign w:val="center"/>
          </w:tcPr>
          <w:p w14:paraId="2377F84A">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年费率0.3%，最低保费1000元</w:t>
            </w:r>
          </w:p>
        </w:tc>
        <w:tc>
          <w:tcPr>
            <w:tcW w:w="1099" w:type="dxa"/>
            <w:noWrap w:val="0"/>
            <w:vAlign w:val="center"/>
          </w:tcPr>
          <w:p w14:paraId="2AF4784E">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王仙春</w:t>
            </w:r>
          </w:p>
        </w:tc>
        <w:tc>
          <w:tcPr>
            <w:tcW w:w="1715" w:type="dxa"/>
            <w:noWrap w:val="0"/>
            <w:vAlign w:val="center"/>
          </w:tcPr>
          <w:p w14:paraId="3F7674D3">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13515769179</w:t>
            </w:r>
          </w:p>
        </w:tc>
      </w:tr>
      <w:tr w14:paraId="40734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177" w:type="dxa"/>
            <w:noWrap w:val="0"/>
            <w:vAlign w:val="center"/>
          </w:tcPr>
          <w:p w14:paraId="7E46455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永安财产保险股份有限公司台州中心支公司</w:t>
            </w:r>
          </w:p>
        </w:tc>
        <w:tc>
          <w:tcPr>
            <w:tcW w:w="2527" w:type="dxa"/>
            <w:noWrap w:val="0"/>
            <w:vAlign w:val="center"/>
          </w:tcPr>
          <w:p w14:paraId="3C5AE007">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年费率0.3%，最低保费1000</w:t>
            </w:r>
          </w:p>
        </w:tc>
        <w:tc>
          <w:tcPr>
            <w:tcW w:w="1099" w:type="dxa"/>
            <w:noWrap w:val="0"/>
            <w:vAlign w:val="center"/>
          </w:tcPr>
          <w:p w14:paraId="0A1611A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王春宇</w:t>
            </w:r>
          </w:p>
        </w:tc>
        <w:tc>
          <w:tcPr>
            <w:tcW w:w="1715" w:type="dxa"/>
            <w:noWrap w:val="0"/>
            <w:vAlign w:val="center"/>
          </w:tcPr>
          <w:p w14:paraId="3E484280">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13676675331</w:t>
            </w:r>
          </w:p>
        </w:tc>
      </w:tr>
    </w:tbl>
    <w:p w14:paraId="5AD3FA94">
      <w:pPr>
        <w:shd w:val="clear" w:color="auto" w:fill="auto"/>
        <w:spacing w:line="360" w:lineRule="auto"/>
        <w:jc w:val="center"/>
        <w:rPr>
          <w:rFonts w:hint="eastAsia" w:ascii="宋体" w:hAnsi="宋体" w:cs="宋体"/>
          <w:color w:val="auto"/>
          <w:sz w:val="21"/>
          <w:szCs w:val="21"/>
          <w:highlight w:val="none"/>
        </w:rPr>
      </w:pPr>
    </w:p>
    <w:p w14:paraId="33AC707A">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预付款保函联系方式</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28"/>
        <w:gridCol w:w="2518"/>
        <w:gridCol w:w="1091"/>
        <w:gridCol w:w="1701"/>
      </w:tblGrid>
      <w:tr w14:paraId="3607A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128" w:type="dxa"/>
            <w:noWrap w:val="0"/>
            <w:vAlign w:val="center"/>
          </w:tcPr>
          <w:p w14:paraId="0944A674">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保险公司名称</w:t>
            </w:r>
          </w:p>
        </w:tc>
        <w:tc>
          <w:tcPr>
            <w:tcW w:w="2518" w:type="dxa"/>
            <w:noWrap w:val="0"/>
            <w:vAlign w:val="center"/>
          </w:tcPr>
          <w:p w14:paraId="11CE4723">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保费率</w:t>
            </w:r>
          </w:p>
        </w:tc>
        <w:tc>
          <w:tcPr>
            <w:tcW w:w="1091" w:type="dxa"/>
            <w:noWrap w:val="0"/>
            <w:vAlign w:val="center"/>
          </w:tcPr>
          <w:p w14:paraId="32329CE6">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p>
        </w:tc>
        <w:tc>
          <w:tcPr>
            <w:tcW w:w="1701" w:type="dxa"/>
            <w:noWrap w:val="0"/>
            <w:vAlign w:val="center"/>
          </w:tcPr>
          <w:p w14:paraId="22847AA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tc>
      </w:tr>
      <w:tr w14:paraId="3D7F6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4128" w:type="dxa"/>
            <w:noWrap w:val="0"/>
            <w:vAlign w:val="center"/>
          </w:tcPr>
          <w:p w14:paraId="21AF8C61">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中国人寿财产保险股份有限公司台州中心支公司</w:t>
            </w:r>
          </w:p>
        </w:tc>
        <w:tc>
          <w:tcPr>
            <w:tcW w:w="2518" w:type="dxa"/>
            <w:noWrap w:val="0"/>
            <w:vAlign w:val="center"/>
          </w:tcPr>
          <w:p w14:paraId="18BB5CDA">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年费率3%，最低保费500元</w:t>
            </w:r>
          </w:p>
        </w:tc>
        <w:tc>
          <w:tcPr>
            <w:tcW w:w="1091" w:type="dxa"/>
            <w:noWrap w:val="0"/>
            <w:vAlign w:val="center"/>
          </w:tcPr>
          <w:p w14:paraId="3F7D4953">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徐凌</w:t>
            </w:r>
          </w:p>
        </w:tc>
        <w:tc>
          <w:tcPr>
            <w:tcW w:w="1701" w:type="dxa"/>
            <w:noWrap w:val="0"/>
            <w:vAlign w:val="center"/>
          </w:tcPr>
          <w:p w14:paraId="558FD3A3">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13905168070</w:t>
            </w:r>
          </w:p>
        </w:tc>
      </w:tr>
      <w:tr w14:paraId="10E0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4128" w:type="dxa"/>
            <w:noWrap w:val="0"/>
            <w:vAlign w:val="center"/>
          </w:tcPr>
          <w:p w14:paraId="2716BBF6">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阳光保险台州中心支公司</w:t>
            </w:r>
          </w:p>
        </w:tc>
        <w:tc>
          <w:tcPr>
            <w:tcW w:w="2518" w:type="dxa"/>
            <w:noWrap w:val="0"/>
            <w:vAlign w:val="center"/>
          </w:tcPr>
          <w:p w14:paraId="430C6999">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年费率1%，最低保费500元</w:t>
            </w:r>
          </w:p>
        </w:tc>
        <w:tc>
          <w:tcPr>
            <w:tcW w:w="1091" w:type="dxa"/>
            <w:noWrap w:val="0"/>
            <w:vAlign w:val="center"/>
          </w:tcPr>
          <w:p w14:paraId="3FF36A4E">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林高明</w:t>
            </w:r>
          </w:p>
        </w:tc>
        <w:tc>
          <w:tcPr>
            <w:tcW w:w="1701" w:type="dxa"/>
            <w:noWrap w:val="0"/>
            <w:vAlign w:val="center"/>
          </w:tcPr>
          <w:p w14:paraId="717C30B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15888682693</w:t>
            </w:r>
          </w:p>
        </w:tc>
      </w:tr>
      <w:tr w14:paraId="4C365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4128" w:type="dxa"/>
            <w:noWrap w:val="0"/>
            <w:vAlign w:val="center"/>
          </w:tcPr>
          <w:p w14:paraId="73C46A05">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天安财产保险股份有限公司台州中心支公司</w:t>
            </w:r>
          </w:p>
        </w:tc>
        <w:tc>
          <w:tcPr>
            <w:tcW w:w="2518" w:type="dxa"/>
            <w:noWrap w:val="0"/>
            <w:vAlign w:val="center"/>
          </w:tcPr>
          <w:p w14:paraId="1C7D1F87">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年费率1%-2%，最低保费500元</w:t>
            </w:r>
          </w:p>
        </w:tc>
        <w:tc>
          <w:tcPr>
            <w:tcW w:w="1091" w:type="dxa"/>
            <w:noWrap w:val="0"/>
            <w:vAlign w:val="center"/>
          </w:tcPr>
          <w:p w14:paraId="0D70C3A0">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罗赛</w:t>
            </w:r>
          </w:p>
        </w:tc>
        <w:tc>
          <w:tcPr>
            <w:tcW w:w="1701" w:type="dxa"/>
            <w:noWrap w:val="0"/>
            <w:vAlign w:val="center"/>
          </w:tcPr>
          <w:p w14:paraId="1FA1863F">
            <w:pPr>
              <w:shd w:val="clear" w:color="auto" w:fill="auto"/>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13736605643</w:t>
            </w:r>
          </w:p>
        </w:tc>
      </w:tr>
    </w:tbl>
    <w:p w14:paraId="259C629D">
      <w:pPr>
        <w:pageBreakBefore w:val="0"/>
        <w:kinsoku/>
        <w:wordWrap/>
        <w:overflowPunct/>
        <w:topLinePunct w:val="0"/>
        <w:autoSpaceDE w:val="0"/>
        <w:autoSpaceDN w:val="0"/>
        <w:bidi w:val="0"/>
        <w:adjustRightInd w:val="0"/>
        <w:spacing w:line="360" w:lineRule="auto"/>
        <w:jc w:val="center"/>
        <w:outlineLvl w:val="1"/>
        <w:rPr>
          <w:rFonts w:ascii="宋体"/>
          <w:b/>
          <w:bCs/>
          <w:color w:val="auto"/>
          <w:sz w:val="24"/>
          <w:lang w:val="zh-CN"/>
        </w:rPr>
      </w:pPr>
      <w:r>
        <w:rPr>
          <w:rFonts w:ascii="宋体"/>
          <w:color w:val="auto"/>
          <w:sz w:val="24"/>
        </w:rPr>
        <w:br w:type="page"/>
      </w:r>
      <w:bookmarkStart w:id="43" w:name="_Toc302983095"/>
      <w:bookmarkStart w:id="44" w:name="_Toc306901446"/>
      <w:r>
        <w:rPr>
          <w:rFonts w:hint="eastAsia" w:ascii="宋体"/>
          <w:b/>
          <w:bCs/>
          <w:color w:val="auto"/>
          <w:sz w:val="24"/>
          <w:lang w:val="zh-CN"/>
        </w:rPr>
        <w:t>一、</w:t>
      </w:r>
      <w:bookmarkEnd w:id="43"/>
      <w:bookmarkEnd w:id="44"/>
      <w:r>
        <w:rPr>
          <w:rFonts w:hint="eastAsia" w:ascii="宋体"/>
          <w:b/>
          <w:bCs/>
          <w:color w:val="auto"/>
          <w:sz w:val="24"/>
          <w:lang w:val="zh-CN"/>
        </w:rPr>
        <w:t>总则</w:t>
      </w:r>
    </w:p>
    <w:p w14:paraId="63674073">
      <w:pPr>
        <w:pageBreakBefore w:val="0"/>
        <w:kinsoku/>
        <w:wordWrap/>
        <w:overflowPunct/>
        <w:topLinePunct w:val="0"/>
        <w:bidi w:val="0"/>
        <w:snapToGrid w:val="0"/>
        <w:spacing w:line="360" w:lineRule="auto"/>
        <w:ind w:firstLine="413" w:firstLineChars="196"/>
        <w:jc w:val="left"/>
        <w:outlineLvl w:val="1"/>
        <w:rPr>
          <w:rFonts w:ascii="宋体" w:hAnsi="宋体" w:eastAsia="宋体" w:cs="宋体"/>
          <w:b/>
          <w:color w:val="auto"/>
          <w:sz w:val="21"/>
          <w:szCs w:val="21"/>
        </w:rPr>
      </w:pPr>
      <w:r>
        <w:rPr>
          <w:rFonts w:hint="eastAsia" w:ascii="宋体" w:hAnsi="宋体" w:eastAsia="宋体" w:cs="宋体"/>
          <w:b/>
          <w:color w:val="auto"/>
          <w:sz w:val="21"/>
          <w:szCs w:val="21"/>
          <w:lang w:val="zh-CN"/>
        </w:rPr>
        <w:t>（一）</w:t>
      </w:r>
      <w:r>
        <w:rPr>
          <w:rFonts w:hint="eastAsia" w:ascii="宋体" w:hAnsi="宋体" w:eastAsia="宋体" w:cs="宋体"/>
          <w:b/>
          <w:color w:val="auto"/>
          <w:sz w:val="21"/>
          <w:szCs w:val="21"/>
        </w:rPr>
        <w:t>适用范围</w:t>
      </w:r>
    </w:p>
    <w:p w14:paraId="70EF1880">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lang w:val="zh-CN"/>
        </w:rPr>
      </w:pPr>
      <w:r>
        <w:rPr>
          <w:rFonts w:hint="eastAsia" w:ascii="宋体" w:hAnsi="宋体" w:eastAsia="宋体" w:cs="宋体"/>
          <w:color w:val="auto"/>
          <w:sz w:val="21"/>
          <w:szCs w:val="21"/>
          <w:lang w:val="zh-CN"/>
        </w:rPr>
        <w:t>本磋商文件适用于本次项目的磋商、评审、确定成交供应商、验收、合同履约、付款等行为（法律、法规另有规定的，从其规定）。</w:t>
      </w:r>
    </w:p>
    <w:p w14:paraId="2978CA39">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rPr>
      </w:pPr>
      <w:bookmarkStart w:id="45" w:name="_Toc302983099"/>
      <w:bookmarkStart w:id="46" w:name="_Toc306901451"/>
      <w:r>
        <w:rPr>
          <w:rFonts w:hint="eastAsia" w:ascii="宋体" w:hAnsi="宋体" w:eastAsia="宋体" w:cs="宋体"/>
          <w:b/>
          <w:bCs/>
          <w:color w:val="auto"/>
          <w:sz w:val="21"/>
          <w:szCs w:val="21"/>
        </w:rPr>
        <w:t>（二）定义</w:t>
      </w:r>
    </w:p>
    <w:p w14:paraId="47CC5FC3">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“采购组织机构”指受采购人委托，在委托的范围内办理政府采购事宜的机构。</w:t>
      </w:r>
    </w:p>
    <w:p w14:paraId="03DD36DC">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2、采购人：是指依法进行政府采购的国家机关、事业单位、团体组织。</w:t>
      </w:r>
    </w:p>
    <w:p w14:paraId="3851640B">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3、供应商：是指参加本政府采购项目磋商的供应商。</w:t>
      </w:r>
    </w:p>
    <w:p w14:paraId="3085B1E9">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4、货物：是指各种形态和种类的物品，包括原材料、燃料、设备、产品等。</w:t>
      </w:r>
    </w:p>
    <w:p w14:paraId="53FC49FC">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5、服务：是指除货物和工程以外的政府采购对象，包括各类专业服务、信息网络开发服务、金融保险服务、运输服务，以及维修与维护服务等。</w:t>
      </w:r>
    </w:p>
    <w:p w14:paraId="17F39B6D">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6、“书面形式”包括信函、传真等。</w:t>
      </w:r>
    </w:p>
    <w:p w14:paraId="679AB6E6">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7、“▲”系指实质性要求条款。</w:t>
      </w:r>
    </w:p>
    <w:p w14:paraId="19782C24">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rPr>
      </w:pPr>
      <w:r>
        <w:rPr>
          <w:rFonts w:hint="eastAsia" w:ascii="宋体" w:hAnsi="宋体" w:eastAsia="宋体" w:cs="宋体"/>
          <w:b/>
          <w:bCs/>
          <w:color w:val="auto"/>
          <w:sz w:val="21"/>
          <w:szCs w:val="21"/>
        </w:rPr>
        <w:t>（三）磋商费用</w:t>
      </w:r>
    </w:p>
    <w:p w14:paraId="67332040">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1、不论磋商结果如何，供应商均应自行承担所有与磋商有关的全部费用（磋商文件有相关规定除外）。</w:t>
      </w:r>
    </w:p>
    <w:p w14:paraId="61350DB5">
      <w:pPr>
        <w:pStyle w:val="4"/>
        <w:pageBreakBefore w:val="0"/>
        <w:kinsoku/>
        <w:wordWrap/>
        <w:overflowPunct/>
        <w:topLinePunct w:val="0"/>
        <w:bidi w:val="0"/>
        <w:spacing w:line="360" w:lineRule="auto"/>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2、本项目招标代理服务费由中标单位承担，具体收费标准见前附表。</w:t>
      </w:r>
    </w:p>
    <w:p w14:paraId="0246E412">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rPr>
      </w:pPr>
      <w:r>
        <w:rPr>
          <w:rFonts w:hint="eastAsia" w:ascii="宋体" w:hAnsi="宋体" w:eastAsia="宋体" w:cs="宋体"/>
          <w:b/>
          <w:bCs/>
          <w:color w:val="auto"/>
          <w:sz w:val="21"/>
          <w:szCs w:val="21"/>
        </w:rPr>
        <w:t>（四）联合体投标</w:t>
      </w:r>
    </w:p>
    <w:p w14:paraId="4216626C">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val="zh-CN"/>
        </w:rPr>
        <w:t>。</w:t>
      </w:r>
    </w:p>
    <w:p w14:paraId="1B26916A">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lang w:val="zh-CN"/>
        </w:rPr>
      </w:pPr>
      <w:r>
        <w:rPr>
          <w:rFonts w:hint="eastAsia" w:ascii="宋体" w:hAnsi="宋体" w:eastAsia="宋体" w:cs="宋体"/>
          <w:b/>
          <w:bCs/>
          <w:color w:val="auto"/>
          <w:sz w:val="21"/>
          <w:szCs w:val="21"/>
        </w:rPr>
        <w:t>（五）</w:t>
      </w:r>
      <w:r>
        <w:rPr>
          <w:rFonts w:hint="eastAsia" w:ascii="宋体" w:hAnsi="宋体" w:eastAsia="宋体" w:cs="宋体"/>
          <w:b/>
          <w:bCs/>
          <w:color w:val="auto"/>
          <w:sz w:val="21"/>
          <w:szCs w:val="21"/>
          <w:lang w:val="zh-CN"/>
        </w:rPr>
        <w:t>转包与分包</w:t>
      </w:r>
    </w:p>
    <w:p w14:paraId="09625FE8">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lang w:val="zh-CN"/>
        </w:rPr>
      </w:pPr>
      <w:r>
        <w:rPr>
          <w:rFonts w:hint="eastAsia" w:ascii="宋体" w:hAnsi="宋体" w:eastAsia="宋体" w:cs="宋体"/>
          <w:color w:val="auto"/>
          <w:sz w:val="21"/>
          <w:szCs w:val="21"/>
          <w:lang w:val="zh-CN"/>
        </w:rPr>
        <w:t>1、本项目不允许转包。</w:t>
      </w:r>
    </w:p>
    <w:p w14:paraId="019CB82B">
      <w:pPr>
        <w:pageBreakBefore w:val="0"/>
        <w:kinsoku/>
        <w:wordWrap/>
        <w:overflowPunct/>
        <w:topLinePunct w:val="0"/>
        <w:autoSpaceDE w:val="0"/>
        <w:autoSpaceDN w:val="0"/>
        <w:bidi w:val="0"/>
        <w:adjustRightInd w:val="0"/>
        <w:spacing w:line="360" w:lineRule="auto"/>
        <w:ind w:firstLine="480"/>
        <w:rPr>
          <w:rFonts w:ascii="宋体" w:hAnsi="宋体" w:eastAsia="宋体" w:cs="宋体"/>
          <w:color w:val="auto"/>
          <w:sz w:val="21"/>
          <w:szCs w:val="21"/>
          <w:lang w:val="zh-CN"/>
        </w:rPr>
      </w:pPr>
      <w:r>
        <w:rPr>
          <w:rFonts w:hint="eastAsia" w:ascii="宋体" w:hAnsi="宋体" w:eastAsia="宋体" w:cs="宋体"/>
          <w:color w:val="auto"/>
          <w:sz w:val="21"/>
          <w:szCs w:val="21"/>
          <w:lang w:val="zh-CN"/>
        </w:rPr>
        <w:t>2、本项目不可以分包。</w:t>
      </w:r>
    </w:p>
    <w:p w14:paraId="7895C269">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rPr>
      </w:pPr>
      <w:r>
        <w:rPr>
          <w:rFonts w:hint="eastAsia" w:ascii="宋体" w:hAnsi="宋体" w:eastAsia="宋体" w:cs="宋体"/>
          <w:b/>
          <w:bCs/>
          <w:color w:val="auto"/>
          <w:sz w:val="21"/>
          <w:szCs w:val="21"/>
        </w:rPr>
        <w:t>（六）特别说明</w:t>
      </w:r>
    </w:p>
    <w:p w14:paraId="70C09E18">
      <w:pPr>
        <w:pageBreakBefore w:val="0"/>
        <w:kinsoku/>
        <w:wordWrap/>
        <w:overflowPunct/>
        <w:topLinePunct w:val="0"/>
        <w:bidi w:val="0"/>
        <w:snapToGrid w:val="0"/>
        <w:spacing w:line="360" w:lineRule="auto"/>
        <w:ind w:firstLine="420" w:firstLineChars="200"/>
        <w:rPr>
          <w:rFonts w:ascii="宋体" w:hAnsi="宋体" w:cs="宋体"/>
          <w:color w:val="auto"/>
          <w:sz w:val="24"/>
          <w:lang w:val="zh-CN"/>
        </w:rPr>
      </w:pPr>
      <w:r>
        <w:rPr>
          <w:rFonts w:hint="eastAsia" w:ascii="宋体" w:hAnsi="宋体" w:cs="宋体"/>
          <w:color w:val="auto"/>
          <w:sz w:val="21"/>
          <w:szCs w:val="21"/>
          <w:lang w:val="zh-CN"/>
        </w:rPr>
        <w:t>1.</w:t>
      </w:r>
      <w:r>
        <w:rPr>
          <w:rFonts w:hint="eastAsia" w:ascii="宋体" w:hAnsi="宋体" w:cs="宋体"/>
          <w:color w:val="auto"/>
          <w:sz w:val="21"/>
          <w:szCs w:val="21"/>
        </w:rPr>
        <w:t>供应商磋商</w:t>
      </w:r>
      <w:r>
        <w:rPr>
          <w:rFonts w:hint="eastAsia" w:ascii="宋体" w:hAnsi="宋体" w:cs="宋体"/>
          <w:color w:val="auto"/>
          <w:sz w:val="21"/>
          <w:szCs w:val="21"/>
          <w:lang w:val="zh-CN"/>
        </w:rPr>
        <w:t>所使用的资格、信誉、荣誉、业绩与企业认证必须为本法人所拥有。</w:t>
      </w:r>
      <w:r>
        <w:rPr>
          <w:rFonts w:hint="eastAsia" w:ascii="宋体" w:hAnsi="宋体" w:cs="宋体"/>
          <w:color w:val="auto"/>
          <w:sz w:val="21"/>
          <w:szCs w:val="21"/>
        </w:rPr>
        <w:t>供应商磋商</w:t>
      </w:r>
      <w:r>
        <w:rPr>
          <w:rFonts w:hint="eastAsia" w:ascii="宋体" w:hAnsi="宋体" w:cs="宋体"/>
          <w:color w:val="auto"/>
          <w:sz w:val="21"/>
          <w:szCs w:val="21"/>
          <w:lang w:val="zh-CN"/>
        </w:rPr>
        <w:t>所使用的采购项目实施人员必须为本法人员工（或必须为本法人或控股公司正式员工）。</w:t>
      </w:r>
    </w:p>
    <w:p w14:paraId="2C207204">
      <w:pPr>
        <w:pageBreakBefore w:val="0"/>
        <w:kinsoku/>
        <w:wordWrap/>
        <w:overflowPunct/>
        <w:topLinePunct w:val="0"/>
        <w:bidi w:val="0"/>
        <w:snapToGrid w:val="0"/>
        <w:spacing w:line="360" w:lineRule="auto"/>
        <w:ind w:firstLine="420" w:firstLineChars="200"/>
        <w:rPr>
          <w:rFonts w:ascii="宋体" w:hAnsi="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zh-CN"/>
        </w:rPr>
        <w:t>.供应商应仔细阅读磋商文件的所有内容，按照磋商文件的要求提交磋商响应文件，并对所提供的全部资料的真实性承担法律责任。</w:t>
      </w:r>
    </w:p>
    <w:p w14:paraId="7E8D8787">
      <w:pPr>
        <w:pageBreakBefore w:val="0"/>
        <w:kinsoku/>
        <w:wordWrap/>
        <w:overflowPunct/>
        <w:topLinePunct w:val="0"/>
        <w:bidi w:val="0"/>
        <w:snapToGrid w:val="0"/>
        <w:spacing w:line="360" w:lineRule="auto"/>
        <w:ind w:firstLine="420" w:firstLineChars="200"/>
        <w:rPr>
          <w:rFonts w:ascii="宋体" w:hAnsi="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zh-CN"/>
        </w:rPr>
        <w:t>.</w:t>
      </w:r>
      <w:r>
        <w:rPr>
          <w:rFonts w:hint="eastAsia" w:ascii="宋体" w:hAnsi="宋体" w:cs="宋体"/>
          <w:color w:val="auto"/>
          <w:sz w:val="21"/>
          <w:szCs w:val="21"/>
        </w:rPr>
        <w:t>供应商</w:t>
      </w:r>
      <w:r>
        <w:rPr>
          <w:rFonts w:hint="eastAsia" w:ascii="宋体" w:hAnsi="宋体" w:cs="宋体"/>
          <w:color w:val="auto"/>
          <w:sz w:val="21"/>
          <w:szCs w:val="21"/>
          <w:lang w:val="zh-CN"/>
        </w:rPr>
        <w:t>在</w:t>
      </w:r>
      <w:r>
        <w:rPr>
          <w:rFonts w:hint="eastAsia" w:ascii="宋体" w:hAnsi="宋体" w:cs="宋体"/>
          <w:color w:val="auto"/>
          <w:sz w:val="21"/>
          <w:szCs w:val="21"/>
        </w:rPr>
        <w:t>磋商</w:t>
      </w:r>
      <w:r>
        <w:rPr>
          <w:rFonts w:hint="eastAsia" w:ascii="宋体" w:hAnsi="宋体" w:cs="宋体"/>
          <w:color w:val="auto"/>
          <w:sz w:val="21"/>
          <w:szCs w:val="21"/>
          <w:lang w:val="zh-CN"/>
        </w:rPr>
        <w:t>活动中提供任何虚假材料，其</w:t>
      </w:r>
      <w:r>
        <w:rPr>
          <w:rFonts w:hint="eastAsia" w:ascii="宋体" w:hAnsi="宋体" w:cs="宋体"/>
          <w:color w:val="auto"/>
          <w:sz w:val="21"/>
          <w:szCs w:val="21"/>
        </w:rPr>
        <w:t>磋商</w:t>
      </w:r>
      <w:r>
        <w:rPr>
          <w:rFonts w:hint="eastAsia" w:ascii="宋体" w:hAnsi="宋体" w:cs="宋体"/>
          <w:color w:val="auto"/>
          <w:sz w:val="21"/>
          <w:szCs w:val="21"/>
          <w:lang w:val="zh-CN"/>
        </w:rPr>
        <w:t>无效，并报监管部门查处；中标后发现的，中标人须依照《中华人民共和国消费者权益保护法》第49条之规定赔偿采购人，且民事赔偿并不免除违法供应商的行政与刑事责任。</w:t>
      </w:r>
    </w:p>
    <w:p w14:paraId="1FF5B94E">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zh-CN"/>
        </w:rPr>
        <w:t>.为采购项目提供整体设计、规范编制或者项目管理、监理、检测等服务的供应商，不得再参加该采购项目的其他采购活动。</w:t>
      </w:r>
    </w:p>
    <w:p w14:paraId="6D6919E1">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5</w:t>
      </w:r>
      <w:r>
        <w:rPr>
          <w:rFonts w:hint="eastAsia" w:ascii="宋体" w:hAnsi="宋体" w:cs="宋体"/>
          <w:color w:val="auto"/>
          <w:sz w:val="21"/>
          <w:szCs w:val="21"/>
          <w:lang w:val="zh-CN"/>
        </w:rPr>
        <w:t>.供应商信用信息查询渠道及截止时点、信用信息查询记录和证据留存的具体方式、信用信息的使用规则：</w:t>
      </w:r>
    </w:p>
    <w:p w14:paraId="279D934C">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1"/>
      </w:r>
      <w:r>
        <w:rPr>
          <w:rFonts w:hint="eastAsia" w:ascii="宋体" w:hAnsi="宋体" w:cs="宋体"/>
          <w:color w:val="auto"/>
          <w:sz w:val="21"/>
          <w:szCs w:val="21"/>
          <w:lang w:val="zh-CN"/>
        </w:rPr>
        <w:t>查询渠道：</w:t>
      </w:r>
      <w:r>
        <w:rPr>
          <w:rFonts w:hint="eastAsia" w:ascii="宋体" w:hAnsi="宋体" w:eastAsia="宋体" w:cs="宋体"/>
          <w:color w:val="auto"/>
          <w:sz w:val="21"/>
          <w:szCs w:val="21"/>
          <w:lang w:val="zh-CN"/>
        </w:rPr>
        <w:t>中国政府采购网（网址：http://www.ccgp.gov.cn）、信用中国（网址：</w:t>
      </w:r>
      <w:r>
        <w:rPr>
          <w:rFonts w:eastAsia="Calibri" w:cs="Times New Roman"/>
          <w:color w:val="auto"/>
          <w:sz w:val="36"/>
        </w:rPr>
        <w:fldChar w:fldCharType="begin"/>
      </w:r>
      <w:r>
        <w:rPr>
          <w:rFonts w:eastAsia="Calibri" w:cs="Times New Roman"/>
          <w:color w:val="auto"/>
          <w:sz w:val="36"/>
        </w:rPr>
        <w:instrText xml:space="preserve"> HYPERLINK "http://www.creditchina.gov.cn" </w:instrText>
      </w:r>
      <w:r>
        <w:rPr>
          <w:rFonts w:eastAsia="Calibri" w:cs="Times New Roman"/>
          <w:color w:val="auto"/>
          <w:sz w:val="36"/>
        </w:rPr>
        <w:fldChar w:fldCharType="separate"/>
      </w:r>
      <w:r>
        <w:rPr>
          <w:rFonts w:hint="eastAsia" w:ascii="宋体" w:hAnsi="宋体" w:eastAsia="宋体" w:cs="宋体"/>
          <w:color w:val="auto"/>
          <w:sz w:val="21"/>
          <w:szCs w:val="21"/>
          <w:lang w:val="zh-CN"/>
        </w:rPr>
        <w:t>http://www.creditchina.gov.cn</w:t>
      </w:r>
      <w:r>
        <w:rPr>
          <w:rFonts w:hint="eastAsia" w:ascii="宋体" w:hAnsi="宋体" w:eastAsia="宋体" w:cs="宋体"/>
          <w:color w:val="auto"/>
          <w:sz w:val="21"/>
          <w:szCs w:val="21"/>
          <w:lang w:val="zh-CN"/>
        </w:rPr>
        <w:fldChar w:fldCharType="end"/>
      </w:r>
      <w:r>
        <w:rPr>
          <w:rFonts w:hint="eastAsia" w:ascii="宋体" w:hAnsi="宋体" w:eastAsia="宋体" w:cs="宋体"/>
          <w:color w:val="auto"/>
          <w:sz w:val="21"/>
          <w:szCs w:val="21"/>
          <w:lang w:val="zh-CN"/>
        </w:rPr>
        <w:t>）。</w:t>
      </w:r>
    </w:p>
    <w:p w14:paraId="328F727F">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2"/>
      </w:r>
      <w:r>
        <w:rPr>
          <w:rFonts w:hint="eastAsia" w:ascii="宋体" w:hAnsi="宋体" w:cs="宋体"/>
          <w:color w:val="auto"/>
          <w:sz w:val="21"/>
          <w:szCs w:val="21"/>
          <w:lang w:val="zh-CN"/>
        </w:rPr>
        <w:t>截止时间：</w:t>
      </w:r>
      <w:r>
        <w:rPr>
          <w:rFonts w:hint="eastAsia" w:ascii="宋体" w:hAnsi="宋体" w:cs="宋体"/>
          <w:color w:val="auto"/>
          <w:sz w:val="21"/>
          <w:szCs w:val="21"/>
          <w:lang w:val="zh-CN" w:eastAsia="zh-CN"/>
        </w:rPr>
        <w:t>开标当日</w:t>
      </w:r>
      <w:r>
        <w:rPr>
          <w:rFonts w:hint="eastAsia" w:ascii="宋体" w:hAnsi="宋体" w:cs="宋体"/>
          <w:color w:val="auto"/>
          <w:sz w:val="21"/>
          <w:szCs w:val="21"/>
          <w:lang w:val="zh-CN"/>
        </w:rPr>
        <w:t>。</w:t>
      </w:r>
    </w:p>
    <w:p w14:paraId="39B31029">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3"/>
      </w:r>
      <w:r>
        <w:rPr>
          <w:rFonts w:hint="eastAsia" w:ascii="宋体" w:hAnsi="宋体" w:cs="宋体"/>
          <w:color w:val="auto"/>
          <w:sz w:val="21"/>
          <w:szCs w:val="21"/>
          <w:lang w:val="zh-CN"/>
        </w:rPr>
        <w:t>信用信息查询记录和证据留存的具体方式：</w:t>
      </w:r>
      <w:r>
        <w:rPr>
          <w:rFonts w:hint="eastAsia" w:ascii="宋体" w:hAnsi="宋体" w:cs="宋体"/>
          <w:color w:val="auto"/>
          <w:sz w:val="21"/>
          <w:szCs w:val="21"/>
          <w:lang w:val="zh-CN" w:eastAsia="zh-CN"/>
        </w:rPr>
        <w:t>采购代理机构经办人和监督人员将查询网页打印与其他竞争性磋商文件一并保存</w:t>
      </w:r>
      <w:r>
        <w:rPr>
          <w:rFonts w:hint="eastAsia" w:ascii="宋体" w:hAnsi="宋体" w:cs="宋体"/>
          <w:color w:val="auto"/>
          <w:sz w:val="21"/>
          <w:szCs w:val="21"/>
          <w:lang w:val="zh-CN"/>
        </w:rPr>
        <w:t>。</w:t>
      </w:r>
    </w:p>
    <w:p w14:paraId="2796A485">
      <w:pPr>
        <w:pageBreakBefore w:val="0"/>
        <w:kinsoku/>
        <w:wordWrap/>
        <w:overflowPunct/>
        <w:topLinePunct w:val="0"/>
        <w:bidi w:val="0"/>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4"/>
      </w:r>
      <w:r>
        <w:rPr>
          <w:rFonts w:hint="eastAsia" w:ascii="宋体" w:hAnsi="宋体" w:cs="宋体"/>
          <w:color w:val="auto"/>
          <w:sz w:val="21"/>
          <w:szCs w:val="21"/>
          <w:lang w:val="zh-CN"/>
        </w:rPr>
        <w:t>使用规则：</w:t>
      </w:r>
      <w:r>
        <w:rPr>
          <w:rFonts w:hint="eastAsia" w:ascii="宋体" w:hAnsi="宋体" w:eastAsia="宋体" w:cs="宋体"/>
          <w:color w:val="auto"/>
          <w:sz w:val="21"/>
          <w:szCs w:val="21"/>
          <w:lang w:val="zh-CN"/>
        </w:rPr>
        <w:t>对列入失信被执行人、重大税收违法案件当事人名单、政府采购严重违法失信行为记录名单的供应商，拒绝其参与采购活动</w:t>
      </w:r>
      <w:r>
        <w:rPr>
          <w:rFonts w:hint="eastAsia" w:ascii="宋体" w:hAnsi="宋体" w:eastAsia="宋体" w:cs="宋体"/>
          <w:color w:val="auto"/>
          <w:sz w:val="21"/>
          <w:szCs w:val="21"/>
        </w:rPr>
        <w:t>。</w:t>
      </w:r>
    </w:p>
    <w:bookmarkEnd w:id="45"/>
    <w:bookmarkEnd w:id="46"/>
    <w:p w14:paraId="75A09E20">
      <w:pPr>
        <w:pageBreakBefore w:val="0"/>
        <w:kinsoku/>
        <w:wordWrap/>
        <w:overflowPunct/>
        <w:topLinePunct w:val="0"/>
        <w:autoSpaceDE w:val="0"/>
        <w:autoSpaceDN w:val="0"/>
        <w:bidi w:val="0"/>
        <w:adjustRightInd w:val="0"/>
        <w:spacing w:line="360" w:lineRule="auto"/>
        <w:ind w:firstLine="480"/>
        <w:rPr>
          <w:rFonts w:ascii="宋体" w:hAnsi="宋体" w:eastAsia="宋体" w:cs="宋体"/>
          <w:b/>
          <w:bCs/>
          <w:color w:val="auto"/>
          <w:sz w:val="21"/>
          <w:szCs w:val="21"/>
        </w:rPr>
      </w:pPr>
      <w:r>
        <w:rPr>
          <w:rFonts w:hint="eastAsia" w:ascii="黑体" w:hAnsi="黑体" w:eastAsia="黑体" w:cs="黑体"/>
          <w:b w:val="0"/>
          <w:bCs w:val="0"/>
          <w:color w:val="auto"/>
          <w:sz w:val="21"/>
          <w:szCs w:val="21"/>
          <w:highlight w:val="none"/>
        </w:rPr>
        <w:t>▲</w:t>
      </w:r>
      <w:r>
        <w:rPr>
          <w:rFonts w:hint="eastAsia" w:ascii="宋体" w:hAnsi="宋体" w:eastAsia="宋体" w:cs="宋体"/>
          <w:b/>
          <w:bCs/>
          <w:color w:val="auto"/>
          <w:sz w:val="21"/>
          <w:szCs w:val="21"/>
        </w:rPr>
        <w:t>6.项目经理在建项目要求：</w:t>
      </w:r>
    </w:p>
    <w:p w14:paraId="78F02AE6">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0AB4A97F">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1）原承接的项目与本工程属于同一工程相邻分段发包或分期施工的；</w:t>
      </w:r>
    </w:p>
    <w:p w14:paraId="6B62BD33">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2）因非承包方原因致使工程项目停工超过120天（含），经建设单位同意的（并须提供经工程所在地建设（建筑业）行政主管部门同意停工的书面证明）。</w:t>
      </w:r>
    </w:p>
    <w:p w14:paraId="7D25F9FD">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合同约定的工程已完工，承包方向建设单位提交竣工（交工）报告时间已超过120天（含），且经建设单位同意可承接其他项目的（并须提供经工程所在地建设（建筑业）行政主管部门书面证明和竣工（交工）报告）。</w:t>
      </w:r>
    </w:p>
    <w:p w14:paraId="361482EF">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工程已竣工，而在管理部门网站上（全国建筑市场监管公共服务平台http://jzsc.mohurd.gov.cn/home；浙江省建筑市场监管公共服务系统https://jzsc.jst.zj.gov.cn/PublicWeb/index.html#/project）仍载明为项目负责人岗位在岗的【须在磋商响应文件中提供竣工（交工）验收记录、原工程所在地建设（建筑业）行政主管部门（工程已竣工验收）证明】。</w:t>
      </w:r>
    </w:p>
    <w:p w14:paraId="68BB3B4A">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如发生以上情形，投标人应在递交投标文件的同时将有关书面证明材料（以电子文档形式上传）提交给采购单位，投标截止日后提供的证明材料视为瞒报、漏报，将不予认可。</w:t>
      </w:r>
    </w:p>
    <w:p w14:paraId="458D1CE5">
      <w:pPr>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项目经理在原承接项目的中标候选人公示、中标公示、</w:t>
      </w:r>
      <w:r>
        <w:rPr>
          <w:rFonts w:hint="eastAsia" w:ascii="宋体" w:hAnsi="宋体" w:eastAsia="宋体" w:cs="宋体"/>
          <w:b/>
          <w:bCs/>
          <w:color w:val="auto"/>
          <w:sz w:val="21"/>
          <w:szCs w:val="21"/>
          <w:highlight w:val="none"/>
          <w:lang w:eastAsia="zh-CN"/>
        </w:rPr>
        <w:t>中标（成交）通知书</w:t>
      </w:r>
      <w:r>
        <w:rPr>
          <w:rFonts w:hint="eastAsia" w:ascii="宋体" w:hAnsi="宋体" w:eastAsia="宋体" w:cs="宋体"/>
          <w:b/>
          <w:bCs/>
          <w:color w:val="auto"/>
          <w:sz w:val="21"/>
          <w:szCs w:val="21"/>
          <w:highlight w:val="none"/>
        </w:rPr>
        <w:t>、合同、施工许可证、现场公告牌、管理部门的网站或文件中载明担任项目经理岗位的，均视为已承接该项目。</w:t>
      </w:r>
    </w:p>
    <w:p w14:paraId="17E7A2DD">
      <w:pPr>
        <w:autoSpaceDE w:val="0"/>
        <w:autoSpaceDN w:val="0"/>
        <w:adjustRightInd w:val="0"/>
        <w:spacing w:line="360" w:lineRule="auto"/>
        <w:ind w:firstLine="480"/>
        <w:rPr>
          <w:rFonts w:hint="eastAsia"/>
          <w:lang w:val="zh-CN"/>
        </w:rPr>
      </w:pPr>
      <w:r>
        <w:rPr>
          <w:rFonts w:hint="eastAsia" w:ascii="宋体" w:hAnsi="宋体" w:eastAsia="宋体" w:cs="宋体"/>
          <w:b/>
          <w:bCs/>
          <w:sz w:val="21"/>
          <w:szCs w:val="21"/>
        </w:rPr>
        <w:t>（七）</w:t>
      </w:r>
      <w:r>
        <w:rPr>
          <w:rFonts w:hint="eastAsia" w:ascii="宋体" w:hAnsi="宋体" w:eastAsia="宋体" w:cs="宋体"/>
          <w:b/>
          <w:bCs/>
          <w:sz w:val="21"/>
          <w:szCs w:val="21"/>
          <w:lang w:val="zh-CN"/>
        </w:rPr>
        <w:t>质疑与投诉</w:t>
      </w:r>
    </w:p>
    <w:p w14:paraId="353E5438">
      <w:pPr>
        <w:pageBreakBefore w:val="0"/>
        <w:kinsoku/>
        <w:wordWrap/>
        <w:overflowPunct/>
        <w:topLinePunct w:val="0"/>
        <w:autoSpaceDE w:val="0"/>
        <w:autoSpaceDN w:val="0"/>
        <w:bidi w:val="0"/>
        <w:adjustRightInd w:val="0"/>
        <w:spacing w:line="360" w:lineRule="auto"/>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96D359">
      <w:pPr>
        <w:pStyle w:val="25"/>
        <w:pageBreakBefore w:val="0"/>
        <w:kinsoku/>
        <w:wordWrap/>
        <w:overflowPunct/>
        <w:topLinePunct w:val="0"/>
        <w:bidi w:val="0"/>
        <w:spacing w:after="0" w:line="360" w:lineRule="auto"/>
        <w:ind w:left="0" w:leftChars="0" w:firstLine="420" w:firstLineChars="200"/>
        <w:rPr>
          <w:rFonts w:hint="default" w:eastAsia="宋体"/>
          <w:color w:val="auto"/>
          <w:lang w:val="en-US" w:eastAsia="zh-CN"/>
        </w:rPr>
      </w:pPr>
      <w:r>
        <w:rPr>
          <w:rFonts w:hint="eastAsia" w:ascii="宋体" w:hAnsi="宋体" w:eastAsia="宋体" w:cs="宋体"/>
          <w:b w:val="0"/>
          <w:bCs/>
          <w:color w:val="auto"/>
          <w:sz w:val="21"/>
          <w:szCs w:val="21"/>
          <w:highlight w:val="none"/>
          <w:lang w:val="en-US" w:eastAsia="zh-CN"/>
        </w:rPr>
        <w:t>2.供</w:t>
      </w:r>
      <w:r>
        <w:rPr>
          <w:rFonts w:hint="eastAsia" w:ascii="宋体" w:hAnsi="宋体" w:eastAsia="宋体" w:cs="宋体"/>
          <w:b w:val="0"/>
          <w:bCs/>
          <w:color w:val="auto"/>
          <w:sz w:val="21"/>
          <w:szCs w:val="21"/>
          <w:highlight w:val="none"/>
        </w:rPr>
        <w:t>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w:t>
      </w:r>
      <w:r>
        <w:rPr>
          <w:rFonts w:hint="eastAsia" w:ascii="宋体" w:hAnsi="宋体" w:eastAsia="宋体" w:cs="宋体"/>
          <w:b w:val="0"/>
          <w:bCs/>
          <w:color w:val="auto"/>
          <w:sz w:val="21"/>
          <w:szCs w:val="21"/>
          <w:highlight w:val="none"/>
          <w:lang w:val="en-US" w:eastAsia="zh-CN"/>
        </w:rPr>
        <w:t>函范本、投诉书范本请到浙江政府采购网下载专区下载。</w:t>
      </w:r>
    </w:p>
    <w:p w14:paraId="0C827A6A">
      <w:pPr>
        <w:pageBreakBefore w:val="0"/>
        <w:kinsoku/>
        <w:wordWrap/>
        <w:overflowPunct/>
        <w:topLinePunct w:val="0"/>
        <w:autoSpaceDE w:val="0"/>
        <w:autoSpaceDN w:val="0"/>
        <w:bidi w:val="0"/>
        <w:adjustRightInd w:val="0"/>
        <w:spacing w:line="360" w:lineRule="auto"/>
        <w:ind w:firstLine="422" w:firstLineChars="200"/>
        <w:jc w:val="center"/>
        <w:rPr>
          <w:rFonts w:ascii="宋体" w:hAnsi="宋体" w:eastAsia="宋体" w:cs="宋体"/>
          <w:b/>
          <w:color w:val="auto"/>
          <w:sz w:val="21"/>
          <w:szCs w:val="21"/>
        </w:rPr>
      </w:pPr>
      <w:r>
        <w:rPr>
          <w:rFonts w:hint="eastAsia" w:ascii="宋体" w:hAnsi="宋体" w:eastAsia="宋体" w:cs="宋体"/>
          <w:b/>
          <w:color w:val="auto"/>
          <w:sz w:val="21"/>
          <w:szCs w:val="21"/>
        </w:rPr>
        <w:t>二、磋商文件</w:t>
      </w:r>
    </w:p>
    <w:p w14:paraId="6197897A">
      <w:pPr>
        <w:pageBreakBefore w:val="0"/>
        <w:kinsoku/>
        <w:wordWrap/>
        <w:overflowPunct/>
        <w:topLinePunct w:val="0"/>
        <w:autoSpaceDE w:val="0"/>
        <w:autoSpaceDN w:val="0"/>
        <w:bidi w:val="0"/>
        <w:adjustRightInd w:val="0"/>
        <w:spacing w:line="360" w:lineRule="auto"/>
        <w:ind w:firstLine="420" w:firstLineChars="200"/>
        <w:rPr>
          <w:rFonts w:ascii="宋体"/>
          <w:b/>
          <w:color w:val="auto"/>
          <w:sz w:val="21"/>
          <w:szCs w:val="21"/>
          <w:lang w:val="zh-CN"/>
        </w:rPr>
      </w:pPr>
      <w:r>
        <w:rPr>
          <w:rFonts w:hint="eastAsia" w:ascii="宋体"/>
          <w:b/>
          <w:color w:val="auto"/>
          <w:sz w:val="21"/>
          <w:szCs w:val="21"/>
          <w:lang w:val="zh-CN"/>
        </w:rPr>
        <w:t>（一）</w:t>
      </w:r>
      <w:r>
        <w:rPr>
          <w:rFonts w:hint="eastAsia" w:ascii="宋体"/>
          <w:b/>
          <w:color w:val="auto"/>
          <w:sz w:val="21"/>
          <w:szCs w:val="21"/>
        </w:rPr>
        <w:t>磋商</w:t>
      </w:r>
      <w:r>
        <w:rPr>
          <w:rFonts w:hint="eastAsia" w:ascii="宋体"/>
          <w:b/>
          <w:color w:val="auto"/>
          <w:sz w:val="21"/>
          <w:szCs w:val="21"/>
          <w:lang w:val="zh-CN"/>
        </w:rPr>
        <w:t>文件的构成</w:t>
      </w:r>
    </w:p>
    <w:p w14:paraId="69969B74">
      <w:pPr>
        <w:pageBreakBefore w:val="0"/>
        <w:kinsoku/>
        <w:wordWrap/>
        <w:overflowPunct/>
        <w:topLinePunct w:val="0"/>
        <w:autoSpaceDE w:val="0"/>
        <w:autoSpaceDN w:val="0"/>
        <w:bidi w:val="0"/>
        <w:adjustRightInd w:val="0"/>
        <w:spacing w:line="360" w:lineRule="auto"/>
        <w:ind w:firstLine="420" w:firstLineChars="200"/>
        <w:rPr>
          <w:rFonts w:ascii="宋体"/>
          <w:color w:val="auto"/>
          <w:sz w:val="21"/>
          <w:szCs w:val="21"/>
          <w:lang w:val="zh-CN"/>
        </w:rPr>
      </w:pPr>
      <w:r>
        <w:rPr>
          <w:rFonts w:hint="eastAsia" w:ascii="宋体"/>
          <w:color w:val="auto"/>
          <w:sz w:val="21"/>
          <w:szCs w:val="21"/>
          <w:lang w:val="zh-CN"/>
        </w:rPr>
        <w:t>本</w:t>
      </w:r>
      <w:r>
        <w:rPr>
          <w:rFonts w:hint="eastAsia" w:ascii="宋体"/>
          <w:color w:val="auto"/>
          <w:sz w:val="21"/>
          <w:szCs w:val="21"/>
        </w:rPr>
        <w:t>磋商</w:t>
      </w:r>
      <w:r>
        <w:rPr>
          <w:rFonts w:hint="eastAsia" w:ascii="宋体"/>
          <w:color w:val="auto"/>
          <w:sz w:val="21"/>
          <w:szCs w:val="21"/>
          <w:lang w:val="zh-CN"/>
        </w:rPr>
        <w:t>文件由以下部份组成：</w:t>
      </w:r>
    </w:p>
    <w:p w14:paraId="7FD9424C">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rPr>
        <w:t>竞争性磋商</w:t>
      </w:r>
      <w:r>
        <w:rPr>
          <w:rFonts w:hint="eastAsia" w:ascii="宋体"/>
          <w:color w:val="auto"/>
          <w:sz w:val="21"/>
          <w:szCs w:val="21"/>
          <w:lang w:val="zh-CN"/>
        </w:rPr>
        <w:t>公告</w:t>
      </w:r>
    </w:p>
    <w:p w14:paraId="14DFE3AD">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rPr>
        <w:t>采购</w:t>
      </w:r>
      <w:r>
        <w:rPr>
          <w:rFonts w:hint="eastAsia" w:ascii="宋体"/>
          <w:color w:val="auto"/>
          <w:sz w:val="21"/>
          <w:szCs w:val="21"/>
          <w:lang w:val="zh-CN"/>
        </w:rPr>
        <w:t>需求</w:t>
      </w:r>
    </w:p>
    <w:p w14:paraId="5839FAB9">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rPr>
        <w:t>供应商</w:t>
      </w:r>
      <w:r>
        <w:rPr>
          <w:rFonts w:hint="eastAsia" w:ascii="宋体"/>
          <w:color w:val="auto"/>
          <w:sz w:val="21"/>
          <w:szCs w:val="21"/>
          <w:lang w:val="zh-CN"/>
        </w:rPr>
        <w:t>须知</w:t>
      </w:r>
    </w:p>
    <w:p w14:paraId="493D650F">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lang w:val="zh-CN"/>
        </w:rPr>
        <w:t>评标办法及评分标准</w:t>
      </w:r>
    </w:p>
    <w:p w14:paraId="668172E8">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lang w:val="zh-CN"/>
        </w:rPr>
        <w:t>合同主要条款</w:t>
      </w:r>
    </w:p>
    <w:p w14:paraId="1215865C">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color w:val="auto"/>
          <w:sz w:val="21"/>
          <w:szCs w:val="21"/>
          <w:lang w:val="zh-CN"/>
        </w:rPr>
      </w:pPr>
      <w:r>
        <w:rPr>
          <w:rFonts w:hint="eastAsia" w:ascii="宋体"/>
          <w:color w:val="auto"/>
          <w:sz w:val="21"/>
          <w:szCs w:val="21"/>
        </w:rPr>
        <w:t>磋商响应</w:t>
      </w:r>
      <w:r>
        <w:rPr>
          <w:rFonts w:hint="eastAsia" w:ascii="宋体"/>
          <w:color w:val="auto"/>
          <w:sz w:val="21"/>
          <w:szCs w:val="21"/>
          <w:lang w:val="zh-CN"/>
        </w:rPr>
        <w:t>文件格式</w:t>
      </w:r>
    </w:p>
    <w:p w14:paraId="2535DBA4">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jc w:val="left"/>
        <w:textAlignment w:val="auto"/>
        <w:rPr>
          <w:rFonts w:ascii="宋体"/>
          <w:color w:val="auto"/>
          <w:sz w:val="21"/>
          <w:szCs w:val="21"/>
          <w:lang w:val="zh-CN"/>
        </w:rPr>
      </w:pPr>
      <w:r>
        <w:rPr>
          <w:rFonts w:hint="eastAsia" w:ascii="宋体"/>
          <w:color w:val="auto"/>
          <w:sz w:val="21"/>
          <w:szCs w:val="21"/>
          <w:lang w:val="zh-CN"/>
        </w:rPr>
        <w:t>7、</w:t>
      </w:r>
      <w:r>
        <w:rPr>
          <w:rFonts w:hint="eastAsia" w:ascii="宋体" w:hAnsi="宋体"/>
          <w:color w:val="auto"/>
          <w:sz w:val="21"/>
          <w:szCs w:val="21"/>
        </w:rPr>
        <w:t>本项目磋商文件的澄清、答复、修改、补充的内容</w:t>
      </w:r>
    </w:p>
    <w:p w14:paraId="1F8C6D4C">
      <w:pPr>
        <w:pageBreakBefore w:val="0"/>
        <w:kinsoku/>
        <w:wordWrap/>
        <w:overflowPunct/>
        <w:topLinePunct w:val="0"/>
        <w:autoSpaceDE w:val="0"/>
        <w:autoSpaceDN w:val="0"/>
        <w:bidi w:val="0"/>
        <w:adjustRightInd w:val="0"/>
        <w:spacing w:line="360" w:lineRule="auto"/>
        <w:ind w:firstLine="420" w:firstLineChars="200"/>
        <w:rPr>
          <w:rFonts w:ascii="宋体"/>
          <w:b/>
          <w:color w:val="auto"/>
          <w:sz w:val="21"/>
          <w:szCs w:val="21"/>
          <w:lang w:val="zh-CN"/>
        </w:rPr>
      </w:pPr>
      <w:r>
        <w:rPr>
          <w:rFonts w:hint="eastAsia" w:ascii="宋体"/>
          <w:b/>
          <w:color w:val="auto"/>
          <w:sz w:val="21"/>
          <w:szCs w:val="21"/>
          <w:lang w:val="zh-CN"/>
        </w:rPr>
        <w:t>（二）</w:t>
      </w:r>
      <w:r>
        <w:rPr>
          <w:rFonts w:hint="eastAsia" w:ascii="宋体"/>
          <w:b/>
          <w:color w:val="auto"/>
          <w:sz w:val="21"/>
          <w:szCs w:val="21"/>
        </w:rPr>
        <w:t>磋商</w:t>
      </w:r>
      <w:r>
        <w:rPr>
          <w:rFonts w:hint="eastAsia" w:ascii="宋体"/>
          <w:b/>
          <w:color w:val="auto"/>
          <w:sz w:val="21"/>
          <w:szCs w:val="21"/>
          <w:lang w:val="zh-CN"/>
        </w:rPr>
        <w:t>文件的澄清与修改</w:t>
      </w:r>
    </w:p>
    <w:p w14:paraId="249A242B">
      <w:pPr>
        <w:pageBreakBefore w:val="0"/>
        <w:kinsoku/>
        <w:wordWrap/>
        <w:overflowPunct/>
        <w:topLinePunct w:val="0"/>
        <w:bidi w:val="0"/>
        <w:snapToGri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s="宋体"/>
          <w:color w:val="auto"/>
          <w:sz w:val="21"/>
          <w:szCs w:val="21"/>
        </w:rPr>
        <w:t>供应商</w:t>
      </w:r>
      <w:r>
        <w:rPr>
          <w:rFonts w:hint="eastAsia" w:ascii="宋体" w:hAnsi="宋体" w:cs="宋体"/>
          <w:color w:val="auto"/>
          <w:sz w:val="21"/>
          <w:szCs w:val="21"/>
          <w:lang w:val="zh-CN"/>
        </w:rPr>
        <w:t>如发现</w:t>
      </w:r>
      <w:r>
        <w:rPr>
          <w:rFonts w:hint="eastAsia" w:ascii="宋体" w:hAnsi="宋体" w:cs="宋体"/>
          <w:color w:val="auto"/>
          <w:sz w:val="21"/>
          <w:szCs w:val="21"/>
        </w:rPr>
        <w:t>磋商</w:t>
      </w:r>
      <w:r>
        <w:rPr>
          <w:rFonts w:hint="eastAsia" w:ascii="宋体" w:hAnsi="宋体" w:cs="宋体"/>
          <w:color w:val="auto"/>
          <w:sz w:val="21"/>
          <w:szCs w:val="21"/>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rPr>
        <w:t>磋商</w:t>
      </w:r>
      <w:r>
        <w:rPr>
          <w:rFonts w:hint="eastAsia" w:ascii="宋体" w:hAnsi="宋体" w:cs="宋体"/>
          <w:color w:val="auto"/>
          <w:sz w:val="21"/>
          <w:szCs w:val="21"/>
          <w:lang w:val="zh-CN"/>
        </w:rPr>
        <w:t>文件之日（发售截止日之后收到采购文件的，以发售截止日为准）或者采购文件公告期限届满之日（即为</w:t>
      </w:r>
      <w:r>
        <w:rPr>
          <w:rFonts w:hint="eastAsia" w:ascii="宋体" w:hAnsi="宋体" w:cs="宋体"/>
          <w:color w:val="auto"/>
          <w:sz w:val="21"/>
          <w:szCs w:val="21"/>
        </w:rPr>
        <w:t>磋商</w:t>
      </w:r>
      <w:r>
        <w:rPr>
          <w:rFonts w:hint="eastAsia" w:ascii="宋体" w:hAnsi="宋体" w:cs="宋体"/>
          <w:color w:val="auto"/>
          <w:sz w:val="21"/>
          <w:szCs w:val="21"/>
          <w:lang w:val="zh-CN"/>
        </w:rPr>
        <w:t>公告发布后的第</w:t>
      </w:r>
      <w:r>
        <w:rPr>
          <w:rFonts w:hint="eastAsia" w:ascii="宋体" w:hAnsi="宋体" w:cs="宋体"/>
          <w:color w:val="auto"/>
          <w:sz w:val="21"/>
          <w:szCs w:val="21"/>
        </w:rPr>
        <w:t>4</w:t>
      </w:r>
      <w:r>
        <w:rPr>
          <w:rFonts w:hint="eastAsia" w:ascii="宋体" w:hAnsi="宋体" w:cs="宋体"/>
          <w:color w:val="auto"/>
          <w:sz w:val="21"/>
          <w:szCs w:val="21"/>
          <w:lang w:val="zh-CN"/>
        </w:rPr>
        <w:t>个工作日）起7个工作日内，以书面形式向采购人和采购代理机构提出质疑。逾期不得再对</w:t>
      </w:r>
      <w:r>
        <w:rPr>
          <w:rFonts w:hint="eastAsia" w:ascii="宋体" w:hAnsi="宋体" w:cs="宋体"/>
          <w:color w:val="auto"/>
          <w:sz w:val="21"/>
          <w:szCs w:val="21"/>
        </w:rPr>
        <w:t>磋商</w:t>
      </w:r>
      <w:r>
        <w:rPr>
          <w:rFonts w:hint="eastAsia" w:ascii="宋体" w:hAnsi="宋体" w:cs="宋体"/>
          <w:color w:val="auto"/>
          <w:sz w:val="21"/>
          <w:szCs w:val="21"/>
          <w:lang w:val="zh-CN"/>
        </w:rPr>
        <w:t>文件内容提出质疑，并视为对</w:t>
      </w:r>
      <w:r>
        <w:rPr>
          <w:rFonts w:hint="eastAsia" w:ascii="宋体" w:hAnsi="宋体" w:cs="宋体"/>
          <w:color w:val="auto"/>
          <w:sz w:val="21"/>
          <w:szCs w:val="21"/>
        </w:rPr>
        <w:t>磋商</w:t>
      </w:r>
      <w:r>
        <w:rPr>
          <w:rFonts w:hint="eastAsia" w:ascii="宋体" w:hAnsi="宋体" w:cs="宋体"/>
          <w:color w:val="auto"/>
          <w:sz w:val="21"/>
          <w:szCs w:val="21"/>
          <w:lang w:val="zh-CN"/>
        </w:rPr>
        <w:t>文件内容认可。</w:t>
      </w:r>
    </w:p>
    <w:p w14:paraId="3FB625E9">
      <w:pPr>
        <w:pageBreakBefore w:val="0"/>
        <w:kinsoku/>
        <w:wordWrap/>
        <w:overflowPunct/>
        <w:topLinePunct w:val="0"/>
        <w:bidi w:val="0"/>
        <w:snapToGri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2.采购代理机构对已发出的</w:t>
      </w:r>
      <w:r>
        <w:rPr>
          <w:rFonts w:hint="eastAsia" w:ascii="宋体" w:hAnsi="宋体" w:cs="宋体"/>
          <w:color w:val="auto"/>
          <w:sz w:val="21"/>
          <w:szCs w:val="21"/>
        </w:rPr>
        <w:t>磋商</w:t>
      </w:r>
      <w:r>
        <w:rPr>
          <w:rFonts w:hint="eastAsia" w:ascii="宋体" w:hAnsi="宋体" w:cs="宋体"/>
          <w:color w:val="auto"/>
          <w:sz w:val="21"/>
          <w:szCs w:val="21"/>
          <w:lang w:val="zh-CN"/>
        </w:rPr>
        <w:t>文件进行必要的澄清或者修改，澄清或者修改内容可能影响</w:t>
      </w:r>
      <w:r>
        <w:rPr>
          <w:rFonts w:hint="eastAsia" w:ascii="宋体" w:hAnsi="宋体" w:cs="宋体"/>
          <w:color w:val="auto"/>
          <w:sz w:val="21"/>
          <w:szCs w:val="21"/>
        </w:rPr>
        <w:t>磋商响应</w:t>
      </w:r>
      <w:r>
        <w:rPr>
          <w:rFonts w:hint="eastAsia" w:ascii="宋体" w:hAnsi="宋体" w:cs="宋体"/>
          <w:color w:val="auto"/>
          <w:sz w:val="21"/>
          <w:szCs w:val="21"/>
          <w:lang w:val="zh-CN"/>
        </w:rPr>
        <w:t>文件编制的，采购代理机构于磋商响应文件提交截止时间至少</w:t>
      </w:r>
      <w:r>
        <w:rPr>
          <w:rFonts w:hint="eastAsia" w:ascii="宋体" w:hAnsi="宋体" w:eastAsia="宋体" w:cs="宋体"/>
          <w:color w:val="auto"/>
          <w:sz w:val="21"/>
          <w:szCs w:val="21"/>
        </w:rPr>
        <w:t>3个工作日</w:t>
      </w:r>
      <w:r>
        <w:rPr>
          <w:rFonts w:hint="eastAsia" w:ascii="宋体" w:hAnsi="宋体" w:cs="宋体"/>
          <w:color w:val="auto"/>
          <w:sz w:val="21"/>
          <w:szCs w:val="21"/>
          <w:lang w:val="zh-CN"/>
        </w:rPr>
        <w:t>前在“浙江省政府采购网”网站上发布澄清或更正公告；不足</w:t>
      </w:r>
      <w:r>
        <w:rPr>
          <w:rFonts w:hint="eastAsia" w:ascii="宋体" w:hAnsi="宋体" w:eastAsia="宋体" w:cs="宋体"/>
          <w:color w:val="auto"/>
          <w:sz w:val="21"/>
          <w:szCs w:val="21"/>
        </w:rPr>
        <w:t>3个工作日</w:t>
      </w:r>
      <w:r>
        <w:rPr>
          <w:rFonts w:hint="eastAsia" w:ascii="宋体" w:hAnsi="宋体" w:cs="宋体"/>
          <w:color w:val="auto"/>
          <w:sz w:val="21"/>
          <w:szCs w:val="21"/>
          <w:lang w:val="zh-CN"/>
        </w:rPr>
        <w:t>的，采购代理机构有权顺延提交</w:t>
      </w:r>
      <w:r>
        <w:rPr>
          <w:rFonts w:hint="eastAsia" w:ascii="宋体" w:hAnsi="宋体" w:cs="宋体"/>
          <w:color w:val="auto"/>
          <w:sz w:val="21"/>
          <w:szCs w:val="21"/>
        </w:rPr>
        <w:t>磋商响应</w:t>
      </w:r>
      <w:r>
        <w:rPr>
          <w:rFonts w:hint="eastAsia" w:ascii="宋体" w:hAnsi="宋体" w:cs="宋体"/>
          <w:color w:val="auto"/>
          <w:sz w:val="21"/>
          <w:szCs w:val="21"/>
          <w:lang w:val="zh-CN"/>
        </w:rPr>
        <w:t>文件的截止时间。</w:t>
      </w:r>
    </w:p>
    <w:p w14:paraId="75923166">
      <w:pPr>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b/>
          <w:color w:val="auto"/>
          <w:sz w:val="21"/>
          <w:szCs w:val="21"/>
          <w:lang w:val="zh-CN"/>
        </w:rPr>
      </w:pPr>
      <w:r>
        <w:rPr>
          <w:rFonts w:hint="eastAsia" w:ascii="宋体" w:hAnsi="宋体" w:cs="宋体"/>
          <w:color w:val="auto"/>
          <w:sz w:val="21"/>
          <w:szCs w:val="21"/>
          <w:lang w:val="zh-CN"/>
        </w:rPr>
        <w:t>3.当</w:t>
      </w:r>
      <w:r>
        <w:rPr>
          <w:rFonts w:hint="eastAsia" w:ascii="宋体" w:hAnsi="宋体" w:cs="宋体"/>
          <w:color w:val="auto"/>
          <w:sz w:val="21"/>
          <w:szCs w:val="21"/>
        </w:rPr>
        <w:t>磋商</w:t>
      </w:r>
      <w:r>
        <w:rPr>
          <w:rFonts w:hint="eastAsia" w:ascii="宋体" w:hAnsi="宋体" w:cs="宋体"/>
          <w:color w:val="auto"/>
          <w:sz w:val="21"/>
          <w:szCs w:val="21"/>
          <w:lang w:val="zh-CN"/>
        </w:rPr>
        <w:t>文件与</w:t>
      </w:r>
      <w:r>
        <w:rPr>
          <w:rFonts w:hint="eastAsia" w:ascii="宋体" w:hAnsi="宋体" w:cs="宋体"/>
          <w:color w:val="auto"/>
          <w:sz w:val="21"/>
          <w:szCs w:val="21"/>
        </w:rPr>
        <w:t>磋商</w:t>
      </w:r>
      <w:r>
        <w:rPr>
          <w:rFonts w:hint="eastAsia" w:ascii="宋体" w:hAnsi="宋体" w:cs="宋体"/>
          <w:color w:val="auto"/>
          <w:sz w:val="21"/>
          <w:szCs w:val="21"/>
          <w:lang w:val="zh-CN"/>
        </w:rPr>
        <w:t>文件的澄清、修改、补充等在同一内容的表述上不一致时，以最后发出的书面文件为准。</w:t>
      </w:r>
    </w:p>
    <w:p w14:paraId="520D7D47">
      <w:pPr>
        <w:pageBreakBefore w:val="0"/>
        <w:kinsoku/>
        <w:wordWrap/>
        <w:overflowPunct/>
        <w:topLinePunct w:val="0"/>
        <w:autoSpaceDE w:val="0"/>
        <w:autoSpaceDN w:val="0"/>
        <w:bidi w:val="0"/>
        <w:adjustRightInd w:val="0"/>
        <w:spacing w:line="360" w:lineRule="auto"/>
        <w:ind w:firstLine="422" w:firstLineChars="200"/>
        <w:jc w:val="center"/>
        <w:rPr>
          <w:rFonts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val="zh-CN"/>
        </w:rPr>
        <w:t>、磋商响应文件</w:t>
      </w:r>
      <w:r>
        <w:rPr>
          <w:rFonts w:hint="eastAsia" w:ascii="宋体" w:hAnsi="宋体" w:eastAsia="宋体" w:cs="宋体"/>
          <w:b/>
          <w:color w:val="auto"/>
          <w:sz w:val="21"/>
          <w:szCs w:val="21"/>
        </w:rPr>
        <w:t>的编制</w:t>
      </w:r>
    </w:p>
    <w:p w14:paraId="1EB8E4D3">
      <w:pPr>
        <w:pageBreakBefore w:val="0"/>
        <w:kinsoku/>
        <w:wordWrap/>
        <w:overflowPunct/>
        <w:topLinePunct w:val="0"/>
        <w:autoSpaceDE w:val="0"/>
        <w:autoSpaceDN w:val="0"/>
        <w:bidi w:val="0"/>
        <w:adjustRightInd w:val="0"/>
        <w:spacing w:line="360" w:lineRule="auto"/>
        <w:ind w:firstLine="422" w:firstLineChars="200"/>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（一）磋商响应文件的组成</w:t>
      </w:r>
    </w:p>
    <w:p w14:paraId="3937B110">
      <w:pPr>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bCs/>
          <w:color w:val="auto"/>
          <w:sz w:val="21"/>
          <w:szCs w:val="21"/>
          <w:lang w:val="zh-CN"/>
        </w:rPr>
      </w:pPr>
      <w:r>
        <w:rPr>
          <w:rFonts w:hint="eastAsia" w:ascii="宋体" w:hAnsi="宋体" w:eastAsia="宋体" w:cs="宋体"/>
          <w:bCs/>
          <w:color w:val="auto"/>
          <w:sz w:val="21"/>
          <w:szCs w:val="21"/>
        </w:rPr>
        <w:t>1、供应商</w:t>
      </w:r>
      <w:r>
        <w:rPr>
          <w:rFonts w:hint="eastAsia" w:ascii="宋体" w:hAnsi="宋体" w:eastAsia="宋体" w:cs="宋体"/>
          <w:bCs/>
          <w:color w:val="auto"/>
          <w:sz w:val="21"/>
          <w:szCs w:val="21"/>
          <w:lang w:val="zh-CN"/>
        </w:rPr>
        <w:t>应仔细阅读</w:t>
      </w:r>
      <w:r>
        <w:rPr>
          <w:rFonts w:hint="eastAsia" w:ascii="宋体" w:hAnsi="宋体" w:eastAsia="宋体" w:cs="宋体"/>
          <w:bCs/>
          <w:color w:val="auto"/>
          <w:sz w:val="21"/>
          <w:szCs w:val="21"/>
        </w:rPr>
        <w:t>磋商</w:t>
      </w:r>
      <w:r>
        <w:rPr>
          <w:rFonts w:hint="eastAsia" w:ascii="宋体" w:hAnsi="宋体" w:eastAsia="宋体" w:cs="宋体"/>
          <w:bCs/>
          <w:color w:val="auto"/>
          <w:sz w:val="21"/>
          <w:szCs w:val="21"/>
          <w:lang w:val="zh-CN"/>
        </w:rPr>
        <w:t>文件的所有内容，按照</w:t>
      </w:r>
      <w:r>
        <w:rPr>
          <w:rFonts w:hint="eastAsia" w:ascii="宋体" w:hAnsi="宋体" w:eastAsia="宋体" w:cs="宋体"/>
          <w:bCs/>
          <w:color w:val="auto"/>
          <w:sz w:val="21"/>
          <w:szCs w:val="21"/>
        </w:rPr>
        <w:t>磋商</w:t>
      </w:r>
      <w:r>
        <w:rPr>
          <w:rFonts w:hint="eastAsia" w:ascii="宋体" w:hAnsi="宋体" w:eastAsia="宋体" w:cs="宋体"/>
          <w:bCs/>
          <w:color w:val="auto"/>
          <w:sz w:val="21"/>
          <w:szCs w:val="21"/>
          <w:lang w:val="zh-CN"/>
        </w:rPr>
        <w:t>文件的要求编制和提交</w:t>
      </w:r>
      <w:r>
        <w:rPr>
          <w:rFonts w:hint="eastAsia" w:ascii="宋体" w:hAnsi="宋体" w:eastAsia="宋体" w:cs="宋体"/>
          <w:bCs/>
          <w:color w:val="auto"/>
          <w:sz w:val="21"/>
          <w:szCs w:val="21"/>
        </w:rPr>
        <w:t>磋商响应</w:t>
      </w:r>
      <w:r>
        <w:rPr>
          <w:rFonts w:hint="eastAsia" w:ascii="宋体" w:hAnsi="宋体" w:eastAsia="宋体" w:cs="宋体"/>
          <w:bCs/>
          <w:color w:val="auto"/>
          <w:sz w:val="21"/>
          <w:szCs w:val="21"/>
          <w:lang w:val="zh-CN"/>
        </w:rPr>
        <w:t>文件，并对所提供的全部资料的真实性承担法律责任。</w:t>
      </w:r>
    </w:p>
    <w:p w14:paraId="75E51733">
      <w:pPr>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b/>
          <w:color w:val="auto"/>
          <w:sz w:val="21"/>
          <w:szCs w:val="21"/>
          <w:lang w:val="zh-CN"/>
        </w:rPr>
      </w:pPr>
      <w:r>
        <w:rPr>
          <w:rFonts w:hint="eastAsia" w:ascii="宋体" w:hAnsi="宋体" w:eastAsia="宋体" w:cs="宋体"/>
          <w:bCs/>
          <w:color w:val="auto"/>
          <w:sz w:val="21"/>
          <w:szCs w:val="21"/>
        </w:rPr>
        <w:t>2、磋商响应文件由资格证明文件、商务与技术文件、报价文件组成。</w:t>
      </w:r>
    </w:p>
    <w:p w14:paraId="6DA202A3">
      <w:pPr>
        <w:pageBreakBefore w:val="0"/>
        <w:kinsoku/>
        <w:wordWrap/>
        <w:overflowPunct/>
        <w:topLinePunct w:val="0"/>
        <w:bidi w:val="0"/>
        <w:snapToGrid w:val="0"/>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3、资格证明文件的组成：</w:t>
      </w:r>
    </w:p>
    <w:p w14:paraId="49AB3783">
      <w:pPr>
        <w:pageBreakBefore w:val="0"/>
        <w:kinsoku/>
        <w:wordWrap/>
        <w:overflowPunct/>
        <w:topLinePunct w:val="0"/>
        <w:bidi w:val="0"/>
        <w:snapToGrid w:val="0"/>
        <w:spacing w:line="360" w:lineRule="auto"/>
        <w:ind w:firstLine="420" w:firstLineChars="200"/>
        <w:rPr>
          <w:rFonts w:ascii="宋体" w:hAnsi="宋体" w:eastAsia="宋体" w:cs="宋体"/>
          <w:color w:val="auto"/>
          <w:sz w:val="21"/>
          <w:szCs w:val="21"/>
          <w:lang w:val="zh-CN"/>
        </w:rPr>
      </w:pPr>
      <w:r>
        <w:rPr>
          <w:rFonts w:hint="eastAsia" w:ascii="宋体" w:hAnsi="宋体" w:eastAsia="宋体" w:cs="宋体"/>
          <w:color w:val="auto"/>
          <w:sz w:val="21"/>
          <w:szCs w:val="21"/>
          <w:lang w:val="zh-CN"/>
        </w:rPr>
        <w:t>（1）磋商承诺函(格式见附件)；</w:t>
      </w:r>
    </w:p>
    <w:p w14:paraId="566CDFE1">
      <w:pPr>
        <w:pageBreakBefore w:val="0"/>
        <w:kinsoku/>
        <w:wordWrap/>
        <w:overflowPunct/>
        <w:topLinePunct w:val="0"/>
        <w:bidi w:val="0"/>
        <w:snapToGrid w:val="0"/>
        <w:spacing w:line="360" w:lineRule="auto"/>
        <w:ind w:firstLine="420" w:firstLineChars="200"/>
        <w:rPr>
          <w:rFonts w:ascii="宋体" w:hAnsi="宋体" w:eastAsia="宋体" w:cs="宋体"/>
          <w:color w:val="auto"/>
          <w:sz w:val="21"/>
          <w:szCs w:val="21"/>
          <w:lang w:val="zh-CN"/>
        </w:rPr>
      </w:pPr>
      <w:r>
        <w:rPr>
          <w:rFonts w:hint="eastAsia" w:ascii="宋体" w:hAnsi="宋体" w:eastAsia="宋体" w:cs="宋体"/>
          <w:color w:val="auto"/>
          <w:sz w:val="21"/>
          <w:szCs w:val="21"/>
          <w:lang w:val="zh-CN"/>
        </w:rPr>
        <w:t>（2）授权委托书(格式见附件)（若法定代表人亲自办理磋商事宜的或自然人参加磋商的，则无须提供）；</w:t>
      </w:r>
    </w:p>
    <w:p w14:paraId="0352B98F">
      <w:pPr>
        <w:pageBreakBefore w:val="0"/>
        <w:kinsoku/>
        <w:wordWrap/>
        <w:overflowPunct/>
        <w:topLinePunct w:val="0"/>
        <w:bidi w:val="0"/>
        <w:spacing w:line="360" w:lineRule="auto"/>
        <w:ind w:firstLine="420" w:firstLineChars="200"/>
        <w:rPr>
          <w:rFonts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）法人或者其他组织的营业执照等证明文件，自然人的身份证明；如事业单位参加磋商的，则提供有效的《事业单位法人证书》；</w:t>
      </w:r>
    </w:p>
    <w:p w14:paraId="56436E44">
      <w:pPr>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未被“信用中国”（www.creditchina.gov.cn）、中国政府采购网（www.ccgp.gov.cn）列入失信被执行人、重大税收违法案件当事人名单、政府采购严重违法失信行为记录名单(提供信用中国和中国政府采购网查询结果截图）；</w:t>
      </w:r>
    </w:p>
    <w:p w14:paraId="466517C2">
      <w:pPr>
        <w:autoSpaceDE w:val="0"/>
        <w:autoSpaceDN w:val="0"/>
        <w:adjustRightInd w:val="0"/>
        <w:snapToGrid w:val="0"/>
        <w:spacing w:line="360" w:lineRule="auto"/>
        <w:ind w:firstLine="422" w:firstLineChars="200"/>
        <w:rPr>
          <w:rFonts w:hint="eastAsia" w:ascii="宋体" w:hAnsi="宋体" w:eastAsia="宋体" w:cs="宋体"/>
          <w:b/>
          <w:bCs/>
          <w:color w:val="C00000"/>
          <w:sz w:val="21"/>
          <w:szCs w:val="21"/>
          <w:lang w:val="zh-CN"/>
        </w:rPr>
      </w:pPr>
      <w:r>
        <w:rPr>
          <w:rFonts w:hint="eastAsia" w:ascii="宋体" w:hAnsi="宋体" w:eastAsia="宋体" w:cs="宋体"/>
          <w:b/>
          <w:bCs/>
          <w:color w:val="C00000"/>
          <w:sz w:val="21"/>
          <w:szCs w:val="21"/>
          <w:lang w:val="zh-CN"/>
        </w:rPr>
        <w:t>（</w:t>
      </w:r>
      <w:r>
        <w:rPr>
          <w:rFonts w:hint="eastAsia" w:ascii="宋体" w:hAnsi="宋体" w:eastAsia="宋体" w:cs="宋体"/>
          <w:b/>
          <w:bCs/>
          <w:color w:val="C00000"/>
          <w:sz w:val="21"/>
          <w:szCs w:val="21"/>
          <w:lang w:val="en-US" w:eastAsia="zh-CN"/>
        </w:rPr>
        <w:t>5</w:t>
      </w:r>
      <w:r>
        <w:rPr>
          <w:rFonts w:hint="eastAsia" w:ascii="宋体" w:hAnsi="宋体" w:eastAsia="宋体" w:cs="宋体"/>
          <w:b/>
          <w:bCs/>
          <w:color w:val="C00000"/>
          <w:sz w:val="21"/>
          <w:szCs w:val="21"/>
          <w:lang w:val="zh-CN"/>
        </w:rPr>
        <w:t>）提供有效的建筑装修装饰工程专业承包二级及以上资质证书、安全生产许可证；</w:t>
      </w:r>
      <w:r>
        <w:rPr>
          <w:rFonts w:hint="eastAsia" w:ascii="宋体" w:hAnsi="宋体" w:eastAsia="宋体" w:cs="宋体"/>
          <w:b/>
          <w:bCs/>
          <w:color w:val="C00000"/>
          <w:sz w:val="21"/>
          <w:szCs w:val="21"/>
          <w:lang w:eastAsia="zh-CN"/>
        </w:rPr>
        <w:t>项目负责人建造师证书、三类人员“B”类证书及投标截止时间前的近期社保证明扫描件；</w:t>
      </w:r>
      <w:r>
        <w:rPr>
          <w:rFonts w:hint="eastAsia" w:ascii="宋体" w:hAnsi="宋体" w:eastAsia="宋体" w:cs="宋体"/>
          <w:b/>
          <w:bCs/>
          <w:color w:val="C00000"/>
          <w:sz w:val="21"/>
          <w:szCs w:val="21"/>
          <w:lang w:val="zh-CN"/>
        </w:rPr>
        <w:t>投标人提供自竞争性磋商公告发布之日起在“浙江省建筑市场监管公共服务系统”上，参与投标资质的“资质动态核查结果为“合格”的证明；提供《省外企业进浙承接业务备案证明》或“浙江省建筑市场监管公共服务系统”对外发布的通过审核形成的备案信息网页截图（仅指浙江省省外企业）；（如项目负责人为一级建造师的，须提供有效的电子证书扫描件。一级建造师注册证书须执行住房和城乡建设部的文件（建办市[2021]40号）的相关规定。一级建造师电子证书打印后，应在个人签名处手写本人签名，未手写签名或与签名图像笔迹不一致的，该电子证书无效）；</w:t>
      </w:r>
    </w:p>
    <w:p w14:paraId="10A6C5BA">
      <w:pPr>
        <w:numPr>
          <w:ilvl w:val="0"/>
          <w:numId w:val="0"/>
        </w:numPr>
        <w:autoSpaceDE w:val="0"/>
        <w:autoSpaceDN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提供中小企业声明函；</w:t>
      </w:r>
      <w:r>
        <w:rPr>
          <w:rFonts w:hint="eastAsia" w:ascii="宋体" w:hAnsi="宋体" w:eastAsia="宋体" w:cs="宋体"/>
          <w:sz w:val="21"/>
          <w:szCs w:val="21"/>
          <w:lang w:val="zh-CN"/>
        </w:rPr>
        <w:t>（格式见附件）</w:t>
      </w:r>
    </w:p>
    <w:p w14:paraId="0E2687E9">
      <w:pPr>
        <w:numPr>
          <w:ilvl w:val="0"/>
          <w:numId w:val="0"/>
        </w:numPr>
        <w:autoSpaceDE w:val="0"/>
        <w:autoSpaceDN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）需要说明的其他资料。</w:t>
      </w:r>
    </w:p>
    <w:p w14:paraId="7CA19EF2">
      <w:pPr>
        <w:pStyle w:val="33"/>
        <w:pageBreakBefore w:val="0"/>
        <w:kinsoku/>
        <w:wordWrap/>
        <w:overflowPunct/>
        <w:topLinePunct w:val="0"/>
        <w:bidi w:val="0"/>
        <w:spacing w:line="360" w:lineRule="auto"/>
        <w:ind w:firstLine="420" w:firstLineChars="200"/>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注：开标前采购机构不安排资格预审，开标后采购人或采购代理机构配合评审小组进行资格审查，若供应商不按要求提供资格审查材料，其磋商响应文件作无效标处理。</w:t>
      </w:r>
    </w:p>
    <w:p w14:paraId="16846EBC">
      <w:pPr>
        <w:pageBreakBefore w:val="0"/>
        <w:tabs>
          <w:tab w:val="left" w:pos="5955"/>
        </w:tabs>
        <w:kinsoku/>
        <w:wordWrap/>
        <w:overflowPunct/>
        <w:topLinePunct w:val="0"/>
        <w:bidi w:val="0"/>
        <w:snapToGrid w:val="0"/>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4、商务与技术</w:t>
      </w:r>
      <w:r>
        <w:rPr>
          <w:rFonts w:hint="eastAsia" w:ascii="宋体" w:hAnsi="宋体" w:eastAsia="宋体" w:cs="宋体"/>
          <w:b/>
          <w:color w:val="auto"/>
          <w:sz w:val="21"/>
          <w:szCs w:val="21"/>
          <w:lang w:eastAsia="zh-CN"/>
        </w:rPr>
        <w:t>文件</w:t>
      </w:r>
      <w:r>
        <w:rPr>
          <w:rFonts w:hint="eastAsia" w:ascii="宋体" w:hAnsi="宋体" w:eastAsia="宋体" w:cs="宋体"/>
          <w:b/>
          <w:color w:val="auto"/>
          <w:sz w:val="21"/>
          <w:szCs w:val="21"/>
        </w:rPr>
        <w:t>的组成：</w:t>
      </w:r>
      <w:r>
        <w:rPr>
          <w:rFonts w:hint="eastAsia" w:ascii="宋体" w:hAnsi="宋体" w:eastAsia="宋体" w:cs="宋体"/>
          <w:b/>
          <w:color w:val="auto"/>
          <w:sz w:val="21"/>
          <w:szCs w:val="21"/>
        </w:rPr>
        <w:tab/>
      </w:r>
    </w:p>
    <w:p w14:paraId="196751B0">
      <w:pPr>
        <w:pageBreakBefore w:val="0"/>
        <w:kinsoku/>
        <w:wordWrap/>
        <w:overflowPunct/>
        <w:topLinePunct w:val="0"/>
        <w:bidi w:val="0"/>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（1）磋商供应商按照磋商文件实质性条款及评标办法中的评分内容分章节描述；</w:t>
      </w:r>
    </w:p>
    <w:p w14:paraId="3AA22980">
      <w:pPr>
        <w:pageBreakBefore w:val="0"/>
        <w:kinsoku/>
        <w:wordWrap/>
        <w:overflowPunct/>
        <w:topLinePunct w:val="0"/>
        <w:bidi w:val="0"/>
        <w:snapToGrid w:val="0"/>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）磋商供应商自行提供的证明材料。</w:t>
      </w:r>
    </w:p>
    <w:p w14:paraId="521E9922">
      <w:pPr>
        <w:pageBreakBefore w:val="0"/>
        <w:kinsoku/>
        <w:wordWrap/>
        <w:overflowPunct/>
        <w:topLinePunct w:val="0"/>
        <w:bidi w:val="0"/>
        <w:snapToGrid w:val="0"/>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5、报价</w:t>
      </w:r>
      <w:r>
        <w:rPr>
          <w:rFonts w:hint="eastAsia" w:ascii="宋体" w:hAnsi="宋体" w:eastAsia="宋体" w:cs="宋体"/>
          <w:b/>
          <w:color w:val="auto"/>
          <w:sz w:val="21"/>
          <w:szCs w:val="21"/>
          <w:lang w:eastAsia="zh-CN"/>
        </w:rPr>
        <w:t>文件</w:t>
      </w:r>
      <w:r>
        <w:rPr>
          <w:rFonts w:hint="eastAsia" w:ascii="宋体" w:hAnsi="宋体" w:eastAsia="宋体" w:cs="宋体"/>
          <w:b/>
          <w:color w:val="auto"/>
          <w:sz w:val="21"/>
          <w:szCs w:val="21"/>
        </w:rPr>
        <w:t>的组成：</w:t>
      </w:r>
    </w:p>
    <w:p w14:paraId="1D795FEC">
      <w:pPr>
        <w:pageBreakBefore w:val="0"/>
        <w:tabs>
          <w:tab w:val="left" w:pos="3870"/>
          <w:tab w:val="left" w:pos="4085"/>
        </w:tabs>
        <w:kinsoku/>
        <w:wordWrap/>
        <w:overflowPunct/>
        <w:topLinePunct w:val="0"/>
        <w:bidi w:val="0"/>
        <w:snapToGrid w:val="0"/>
        <w:spacing w:line="360" w:lineRule="auto"/>
        <w:ind w:firstLine="422" w:firstLineChars="200"/>
        <w:jc w:val="left"/>
        <w:rPr>
          <w:rFonts w:ascii="宋体" w:hAnsi="宋体" w:eastAsia="宋体"/>
          <w:b/>
          <w:color w:val="auto"/>
          <w:kern w:val="0"/>
          <w:sz w:val="21"/>
        </w:rPr>
      </w:pPr>
      <w:r>
        <w:rPr>
          <w:rFonts w:hint="eastAsia" w:ascii="宋体" w:hAnsi="宋体" w:eastAsia="宋体"/>
          <w:b/>
          <w:color w:val="auto"/>
          <w:kern w:val="0"/>
          <w:sz w:val="21"/>
        </w:rPr>
        <w:t>（1）报价内容由首次报价一览表、报价明细表及附录，以及供应商认为其他需要说明的内容组成。</w:t>
      </w:r>
    </w:p>
    <w:p w14:paraId="62D383D2">
      <w:pPr>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kern w:val="0"/>
          <w:sz w:val="21"/>
        </w:rPr>
        <w:t>（2）此报价为供应商针对本项目报出的唯一的首次报价，包含其它一切所要涉及到的费用，有选择的报价将被拒绝。</w:t>
      </w:r>
    </w:p>
    <w:p w14:paraId="2A40C1D2">
      <w:pPr>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523BA5BB">
      <w:pPr>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kern w:val="0"/>
          <w:sz w:val="21"/>
        </w:rPr>
        <w:t>（4）</w:t>
      </w:r>
      <w:r>
        <w:rPr>
          <w:rFonts w:hint="eastAsia" w:ascii="宋体" w:hAnsi="宋体" w:eastAsia="宋体"/>
          <w:b/>
          <w:color w:val="auto"/>
          <w:kern w:val="0"/>
          <w:sz w:val="21"/>
        </w:rPr>
        <w:t>本项目专门面向中小企业采购，价格评审时，小微企业的投标价格不作扣除</w:t>
      </w:r>
      <w:r>
        <w:rPr>
          <w:rFonts w:hint="eastAsia" w:ascii="宋体" w:hAnsi="宋体" w:eastAsia="宋体"/>
          <w:color w:val="auto"/>
          <w:kern w:val="0"/>
          <w:sz w:val="21"/>
        </w:rPr>
        <w:t>。</w:t>
      </w:r>
    </w:p>
    <w:p w14:paraId="2802AF7B">
      <w:pPr>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kern w:val="0"/>
          <w:sz w:val="21"/>
        </w:rPr>
        <w:t>（5）相关报价表需打印或用不退色的墨水填写， 磋商响应报价表不得涂改和增删，如有错漏必须修改，修改处须由同一签署人签字或盖章。由于字迹模糊或表达不清引起的后果由供应商负责。</w:t>
      </w:r>
    </w:p>
    <w:p w14:paraId="7629FE7F">
      <w:pPr>
        <w:pageBreakBefore w:val="0"/>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kern w:val="0"/>
          <w:sz w:val="21"/>
        </w:rPr>
        <w:t>（6）报价有关表格可参考按磋商采购文件中相关附表格式填写。</w:t>
      </w:r>
    </w:p>
    <w:p w14:paraId="62907E8C">
      <w:pPr>
        <w:pStyle w:val="3"/>
        <w:pageBreakBefore w:val="0"/>
        <w:kinsoku/>
        <w:wordWrap/>
        <w:overflowPunct/>
        <w:topLinePunct w:val="0"/>
        <w:bidi w:val="0"/>
        <w:spacing w:line="360" w:lineRule="auto"/>
        <w:ind w:firstLine="210"/>
        <w:rPr>
          <w:color w:val="auto"/>
          <w:lang w:val="zh-CN"/>
        </w:rPr>
      </w:pPr>
      <w:r>
        <w:rPr>
          <w:rFonts w:hint="eastAsia"/>
          <w:color w:val="auto"/>
        </w:rPr>
        <w:t>▲</w:t>
      </w:r>
      <w:r>
        <w:rPr>
          <w:rFonts w:hint="eastAsia"/>
          <w:b/>
          <w:bCs/>
          <w:color w:val="auto"/>
        </w:rPr>
        <w:t>6</w:t>
      </w:r>
      <w:r>
        <w:rPr>
          <w:rFonts w:hint="eastAsia"/>
          <w:b/>
          <w:bCs/>
          <w:color w:val="auto"/>
          <w:lang w:val="zh-CN"/>
        </w:rPr>
        <w:t>、报价要求</w:t>
      </w:r>
    </w:p>
    <w:p w14:paraId="302D2259">
      <w:pPr>
        <w:pageBreakBefore w:val="0"/>
        <w:kinsoku/>
        <w:wordWrap/>
        <w:overflowPunct/>
        <w:topLinePunct w:val="0"/>
        <w:bidi w:val="0"/>
        <w:spacing w:line="360" w:lineRule="auto"/>
        <w:ind w:firstLine="420" w:firstLineChars="200"/>
        <w:rPr>
          <w:rFonts w:ascii="宋体" w:hAnsi="宋体"/>
          <w:b/>
          <w:bCs/>
          <w:color w:val="auto"/>
          <w:sz w:val="21"/>
          <w:szCs w:val="21"/>
          <w:lang w:val="zh-CN"/>
        </w:rPr>
      </w:pPr>
      <w:r>
        <w:rPr>
          <w:rFonts w:hint="eastAsia" w:ascii="宋体" w:hAnsi="宋体"/>
          <w:b/>
          <w:bCs/>
          <w:color w:val="auto"/>
          <w:sz w:val="21"/>
          <w:szCs w:val="21"/>
          <w:lang w:val="zh-CN"/>
        </w:rPr>
        <w:t>①本项目设有最高限价，如投标人的投标总报价超过最高限价，其投标文件作无效标处理。</w:t>
      </w:r>
    </w:p>
    <w:p w14:paraId="4FF3398D">
      <w:pPr>
        <w:pageBreakBefore w:val="0"/>
        <w:kinsoku/>
        <w:wordWrap/>
        <w:overflowPunct/>
        <w:topLinePunct w:val="0"/>
        <w:bidi w:val="0"/>
        <w:spacing w:line="360" w:lineRule="auto"/>
        <w:ind w:firstLine="420" w:firstLineChars="200"/>
        <w:rPr>
          <w:rFonts w:hint="eastAsia" w:ascii="宋体" w:hAnsi="宋体" w:cs="Times New Roman"/>
          <w:b/>
          <w:bCs/>
          <w:color w:val="auto"/>
          <w:sz w:val="21"/>
          <w:szCs w:val="21"/>
          <w:lang w:val="zh-CN"/>
        </w:rPr>
      </w:pPr>
      <w:r>
        <w:rPr>
          <w:rFonts w:hint="eastAsia" w:ascii="宋体" w:hAnsi="宋体"/>
          <w:b/>
          <w:bCs/>
          <w:color w:val="auto"/>
          <w:sz w:val="21"/>
          <w:szCs w:val="21"/>
        </w:rPr>
        <w:t>②初次报价在本项目磋商响应文件递交截止时间前按磋商文件要求自主报价；最终报价在本顶目</w:t>
      </w:r>
      <w:r>
        <w:rPr>
          <w:rFonts w:hint="eastAsia" w:ascii="宋体" w:hAnsi="宋体" w:eastAsia="宋体"/>
          <w:b/>
          <w:bCs/>
          <w:color w:val="auto"/>
          <w:sz w:val="21"/>
          <w:szCs w:val="21"/>
        </w:rPr>
        <w:t>磋商</w:t>
      </w:r>
      <w:r>
        <w:rPr>
          <w:rFonts w:hint="eastAsia" w:ascii="宋体" w:hAnsi="宋体"/>
          <w:b/>
          <w:bCs/>
          <w:color w:val="auto"/>
          <w:sz w:val="21"/>
          <w:szCs w:val="21"/>
        </w:rPr>
        <w:t>结束后由所有有效的</w:t>
      </w:r>
      <w:r>
        <w:rPr>
          <w:rFonts w:hint="eastAsia" w:ascii="宋体" w:hAnsi="宋体" w:eastAsia="宋体"/>
          <w:b/>
          <w:bCs/>
          <w:color w:val="auto"/>
          <w:sz w:val="21"/>
          <w:szCs w:val="21"/>
        </w:rPr>
        <w:t>磋商</w:t>
      </w:r>
      <w:r>
        <w:rPr>
          <w:rFonts w:hint="eastAsia" w:ascii="宋体" w:hAnsi="宋体"/>
          <w:b/>
          <w:bCs/>
          <w:color w:val="auto"/>
          <w:sz w:val="21"/>
          <w:szCs w:val="21"/>
        </w:rPr>
        <w:t>供应商在规定的</w:t>
      </w:r>
      <w:r>
        <w:rPr>
          <w:rFonts w:hint="eastAsia" w:ascii="宋体" w:hAnsi="宋体" w:eastAsiaTheme="minorEastAsia"/>
          <w:b/>
          <w:bCs/>
          <w:color w:val="auto"/>
          <w:sz w:val="21"/>
          <w:szCs w:val="21"/>
        </w:rPr>
        <w:t>30分钟（最终报价时间时限根据评审情况另行通知）在</w:t>
      </w:r>
      <w:r>
        <w:rPr>
          <w:rFonts w:hint="eastAsia" w:ascii="宋体" w:hAnsi="宋体"/>
          <w:b/>
          <w:bCs/>
          <w:color w:val="auto"/>
          <w:sz w:val="21"/>
          <w:szCs w:val="21"/>
        </w:rPr>
        <w:t>平台上进行最终报价，同时将填写好并加盖公章后的最终报价表、投标报价明细表及附录的</w:t>
      </w:r>
      <w:r>
        <w:rPr>
          <w:rFonts w:hint="eastAsia" w:ascii="宋体" w:hAnsi="宋体" w:cs="Times New Roman"/>
          <w:b/>
          <w:bCs/>
          <w:color w:val="auto"/>
          <w:sz w:val="21"/>
          <w:szCs w:val="21"/>
        </w:rPr>
        <w:t>电子扫描件随附件上传系统</w:t>
      </w:r>
      <w:r>
        <w:rPr>
          <w:rFonts w:hint="eastAsia" w:ascii="宋体" w:hAnsi="宋体" w:cs="Times New Roman"/>
          <w:b/>
          <w:bCs/>
          <w:color w:val="auto"/>
          <w:sz w:val="21"/>
          <w:szCs w:val="21"/>
        </w:rPr>
        <w:fldChar w:fldCharType="begin"/>
      </w:r>
      <w:r>
        <w:rPr>
          <w:rFonts w:hint="eastAsia" w:ascii="宋体" w:hAnsi="宋体" w:cs="Times New Roman"/>
          <w:b/>
          <w:bCs/>
          <w:color w:val="auto"/>
          <w:sz w:val="21"/>
          <w:szCs w:val="21"/>
        </w:rPr>
        <w:instrText xml:space="preserve"> HYPERLINK "mailto:675642008@qq.com），最后报价不得高于首次报价（谈判文件的采购需求发生实质性变动的情况除外）。" </w:instrText>
      </w:r>
      <w:r>
        <w:rPr>
          <w:rFonts w:hint="eastAsia" w:ascii="宋体" w:hAnsi="宋体" w:cs="Times New Roman"/>
          <w:b/>
          <w:bCs/>
          <w:color w:val="auto"/>
          <w:sz w:val="21"/>
          <w:szCs w:val="21"/>
        </w:rPr>
        <w:fldChar w:fldCharType="separate"/>
      </w:r>
      <w:r>
        <w:rPr>
          <w:rFonts w:hint="eastAsia" w:ascii="宋体" w:hAnsi="宋体" w:cs="Times New Roman"/>
          <w:b/>
          <w:bCs/>
          <w:color w:val="auto"/>
          <w:sz w:val="21"/>
          <w:szCs w:val="21"/>
        </w:rPr>
        <w:t>，</w:t>
      </w:r>
      <w:r>
        <w:rPr>
          <w:rFonts w:hint="eastAsia" w:ascii="宋体" w:hAnsi="宋体" w:cs="Times New Roman"/>
          <w:b/>
          <w:bCs/>
          <w:color w:val="auto"/>
          <w:sz w:val="21"/>
          <w:szCs w:val="21"/>
          <w:lang w:val="zh-CN"/>
        </w:rPr>
        <w:t>最终报价不得高于初次报价，否则将导致无效标。（磋商文件的采购需求发生实质性变动的情况除外）。</w:t>
      </w:r>
      <w:r>
        <w:rPr>
          <w:rFonts w:hint="eastAsia" w:ascii="宋体" w:hAnsi="宋体" w:cs="Times New Roman"/>
          <w:b/>
          <w:bCs/>
          <w:color w:val="auto"/>
          <w:sz w:val="21"/>
          <w:szCs w:val="21"/>
          <w:lang w:val="zh-CN"/>
        </w:rPr>
        <w:fldChar w:fldCharType="end"/>
      </w:r>
    </w:p>
    <w:p w14:paraId="27365065">
      <w:pPr>
        <w:pageBreakBefore w:val="0"/>
        <w:kinsoku/>
        <w:wordWrap/>
        <w:overflowPunct/>
        <w:topLinePunct w:val="0"/>
        <w:bidi w:val="0"/>
        <w:spacing w:line="360" w:lineRule="auto"/>
        <w:ind w:firstLine="420" w:firstLineChars="200"/>
        <w:rPr>
          <w:rFonts w:ascii="宋体"/>
          <w:b/>
          <w:bCs/>
          <w:color w:val="auto"/>
          <w:szCs w:val="21"/>
          <w:lang w:val="zh-CN"/>
        </w:rPr>
      </w:pPr>
      <w:r>
        <w:rPr>
          <w:rFonts w:hint="default" w:ascii="Calibri" w:hAnsi="Calibri" w:cs="Calibri"/>
          <w:b/>
          <w:bCs/>
          <w:color w:val="auto"/>
          <w:sz w:val="21"/>
          <w:szCs w:val="21"/>
          <w:lang w:val="zh-CN"/>
        </w:rPr>
        <w:t>③</w:t>
      </w:r>
      <w:r>
        <w:rPr>
          <w:rFonts w:hint="eastAsia" w:cs="Calibri"/>
          <w:b/>
          <w:bCs/>
          <w:color w:val="auto"/>
          <w:sz w:val="21"/>
          <w:szCs w:val="21"/>
          <w:lang w:val="zh-CN"/>
        </w:rPr>
        <w:t>暂定价不允许变动。</w:t>
      </w:r>
    </w:p>
    <w:p w14:paraId="6660FEA4">
      <w:pPr>
        <w:pageBreakBefore w:val="0"/>
        <w:kinsoku/>
        <w:wordWrap/>
        <w:overflowPunct/>
        <w:topLinePunct w:val="0"/>
        <w:bidi w:val="0"/>
        <w:spacing w:line="360" w:lineRule="auto"/>
        <w:ind w:firstLine="420" w:firstLineChars="200"/>
        <w:rPr>
          <w:rFonts w:eastAsia="宋体"/>
          <w:color w:val="C00000"/>
          <w:sz w:val="21"/>
          <w:szCs w:val="21"/>
          <w:lang w:val="zh-CN"/>
        </w:rPr>
      </w:pPr>
      <w:r>
        <w:rPr>
          <w:rFonts w:hint="eastAsia" w:ascii="宋体" w:hAnsi="宋体"/>
          <w:b/>
          <w:bCs/>
          <w:color w:val="C00000"/>
          <w:sz w:val="21"/>
          <w:szCs w:val="21"/>
        </w:rPr>
        <w:t>▲</w:t>
      </w:r>
      <w:r>
        <w:rPr>
          <w:rFonts w:hint="eastAsia" w:ascii="宋体" w:hAnsi="宋体"/>
          <w:b/>
          <w:bCs/>
          <w:color w:val="C00000"/>
          <w:sz w:val="21"/>
          <w:szCs w:val="21"/>
          <w:u w:val="single"/>
        </w:rPr>
        <w:t>各供应商针对本项目最终报价工作应当事先作好充分准备，以避免在规定时间内未能完成最终报价，在规定时间内未能完成最终报价（含最终报价、投标报价明细表及附录），按供应商自动放弃处理，责任由供应商自负。</w:t>
      </w:r>
    </w:p>
    <w:p w14:paraId="175F5C62">
      <w:pPr>
        <w:pageBreakBefore w:val="0"/>
        <w:kinsoku/>
        <w:wordWrap/>
        <w:overflowPunct/>
        <w:topLinePunct w:val="0"/>
        <w:bidi w:val="0"/>
        <w:snapToGrid w:val="0"/>
        <w:spacing w:line="360" w:lineRule="auto"/>
        <w:ind w:left="480"/>
        <w:rPr>
          <w:rFonts w:ascii="宋体" w:hAnsi="宋体" w:eastAsia="宋体"/>
          <w:color w:val="auto"/>
          <w:sz w:val="21"/>
          <w:lang w:val="zh-CN"/>
        </w:rPr>
      </w:pPr>
      <w:r>
        <w:rPr>
          <w:rFonts w:hint="eastAsia" w:ascii="宋体" w:hAnsi="宋体" w:eastAsia="宋体"/>
          <w:b/>
          <w:color w:val="auto"/>
          <w:kern w:val="0"/>
          <w:sz w:val="21"/>
        </w:rPr>
        <w:t>（二）、磋商响应文件的制作、份数及递交要求</w:t>
      </w:r>
    </w:p>
    <w:p w14:paraId="6C526B97">
      <w:pPr>
        <w:pageBreakBefore w:val="0"/>
        <w:kinsoku/>
        <w:wordWrap/>
        <w:overflowPunct/>
        <w:topLinePunct w:val="0"/>
        <w:autoSpaceDE w:val="0"/>
        <w:autoSpaceDN w:val="0"/>
        <w:bidi w:val="0"/>
        <w:adjustRightInd w:val="0"/>
        <w:snapToGrid w:val="0"/>
        <w:spacing w:line="360" w:lineRule="auto"/>
        <w:ind w:firstLine="480"/>
        <w:rPr>
          <w:rFonts w:ascii="宋体" w:hAnsi="宋体" w:eastAsia="宋体"/>
          <w:b/>
          <w:color w:val="auto"/>
          <w:sz w:val="21"/>
        </w:rPr>
      </w:pPr>
      <w:r>
        <w:rPr>
          <w:rFonts w:hint="eastAsia" w:ascii="宋体" w:hAnsi="宋体" w:eastAsia="宋体"/>
          <w:b/>
          <w:color w:val="auto"/>
          <w:sz w:val="21"/>
        </w:rPr>
        <w:t>1、磋商响应文件的制作要求</w:t>
      </w:r>
    </w:p>
    <w:p w14:paraId="47CB6633">
      <w:pPr>
        <w:pageBreakBefore w:val="0"/>
        <w:kinsoku/>
        <w:wordWrap/>
        <w:overflowPunct/>
        <w:topLinePunct w:val="0"/>
        <w:autoSpaceDE w:val="0"/>
        <w:autoSpaceDN w:val="0"/>
        <w:bidi w:val="0"/>
        <w:adjustRightInd w:val="0"/>
        <w:snapToGrid w:val="0"/>
        <w:spacing w:line="360" w:lineRule="auto"/>
        <w:ind w:firstLine="480"/>
        <w:rPr>
          <w:rFonts w:ascii="宋体" w:hAnsi="宋体" w:eastAsia="宋体"/>
          <w:color w:val="auto"/>
          <w:kern w:val="0"/>
          <w:sz w:val="21"/>
        </w:rPr>
      </w:pPr>
      <w:r>
        <w:rPr>
          <w:rFonts w:hint="eastAsia" w:ascii="宋体" w:hAnsi="宋体" w:eastAsia="宋体"/>
          <w:color w:val="auto"/>
          <w:sz w:val="21"/>
        </w:rPr>
        <w:t>（1）供应商应按照磋商响应文件组成内容及项目磋商需求和浙江政府采购云平台要求制作制作磋商响应文件，</w:t>
      </w:r>
      <w:r>
        <w:rPr>
          <w:rFonts w:hint="eastAsia" w:ascii="宋体" w:hAnsi="宋体" w:eastAsia="宋体"/>
          <w:color w:val="auto"/>
          <w:kern w:val="0"/>
          <w:sz w:val="21"/>
        </w:rPr>
        <w:t>不按</w:t>
      </w:r>
      <w:r>
        <w:rPr>
          <w:rFonts w:hint="eastAsia" w:ascii="宋体" w:hAnsi="宋体" w:eastAsia="宋体"/>
          <w:color w:val="auto"/>
          <w:sz w:val="21"/>
        </w:rPr>
        <w:t>磋商采购文件</w:t>
      </w:r>
      <w:r>
        <w:rPr>
          <w:rFonts w:hint="eastAsia" w:ascii="宋体" w:hAnsi="宋体" w:eastAsia="宋体"/>
          <w:color w:val="auto"/>
          <w:kern w:val="0"/>
          <w:sz w:val="21"/>
        </w:rPr>
        <w:t>要求和浙江政府采购云平台要求制作</w:t>
      </w:r>
      <w:r>
        <w:rPr>
          <w:rFonts w:hint="eastAsia" w:ascii="宋体" w:hAnsi="宋体" w:eastAsia="宋体"/>
          <w:color w:val="auto"/>
          <w:sz w:val="21"/>
        </w:rPr>
        <w:t>磋商响应文件</w:t>
      </w:r>
      <w:r>
        <w:rPr>
          <w:rFonts w:hint="eastAsia" w:ascii="宋体" w:hAnsi="宋体" w:eastAsia="宋体"/>
          <w:color w:val="auto"/>
          <w:kern w:val="0"/>
          <w:sz w:val="21"/>
        </w:rPr>
        <w:t>的将视情处理（拒收、扣分等），由此产生的责任由</w:t>
      </w:r>
      <w:r>
        <w:rPr>
          <w:rFonts w:hint="eastAsia" w:ascii="宋体" w:hAnsi="宋体" w:eastAsia="宋体"/>
          <w:color w:val="auto"/>
          <w:sz w:val="21"/>
        </w:rPr>
        <w:t>磋商供应商</w:t>
      </w:r>
      <w:r>
        <w:rPr>
          <w:rFonts w:hint="eastAsia" w:ascii="宋体" w:hAnsi="宋体" w:eastAsia="宋体"/>
          <w:color w:val="auto"/>
          <w:kern w:val="0"/>
          <w:sz w:val="21"/>
        </w:rPr>
        <w:t>自行承担。</w:t>
      </w:r>
    </w:p>
    <w:p w14:paraId="7AD9D73E">
      <w:pPr>
        <w:pageBreakBefore w:val="0"/>
        <w:kinsoku/>
        <w:wordWrap/>
        <w:overflowPunct/>
        <w:topLinePunct w:val="0"/>
        <w:bidi w:val="0"/>
        <w:snapToGrid w:val="0"/>
        <w:spacing w:line="360" w:lineRule="auto"/>
        <w:ind w:firstLine="420" w:firstLineChars="200"/>
        <w:rPr>
          <w:rFonts w:ascii="宋体" w:hAnsi="宋体" w:cs="宋体"/>
          <w:b/>
          <w:bCs/>
          <w:color w:val="auto"/>
          <w:sz w:val="21"/>
          <w:szCs w:val="21"/>
        </w:rPr>
      </w:pPr>
      <w:r>
        <w:rPr>
          <w:rFonts w:hint="eastAsia" w:ascii="宋体" w:hAnsi="宋体" w:cs="宋体"/>
          <w:b/>
          <w:bCs/>
          <w:color w:val="auto"/>
          <w:sz w:val="21"/>
          <w:szCs w:val="21"/>
        </w:rPr>
        <w:t>电子磋商响应文件部分：供应商应根据“供应商-政府采购项目电子交易操作指南”及本磋商响应文件规定的格式和顺序编制电子磋商响应文件并进行关联定位。</w:t>
      </w:r>
    </w:p>
    <w:p w14:paraId="159D1CB8">
      <w:pPr>
        <w:pageBreakBefore w:val="0"/>
        <w:kinsoku/>
        <w:wordWrap/>
        <w:overflowPunct/>
        <w:topLinePunct w:val="0"/>
        <w:bidi w:val="0"/>
        <w:snapToGrid w:val="0"/>
        <w:spacing w:line="360" w:lineRule="auto"/>
        <w:ind w:firstLine="420" w:firstLineChars="200"/>
        <w:rPr>
          <w:color w:val="auto"/>
          <w:sz w:val="21"/>
          <w:szCs w:val="21"/>
        </w:rPr>
      </w:pPr>
      <w:r>
        <w:rPr>
          <w:rFonts w:hint="eastAsia" w:ascii="宋体" w:hAnsi="宋体" w:cs="宋体"/>
          <w:b/>
          <w:bCs/>
          <w:color w:val="auto"/>
          <w:sz w:val="21"/>
          <w:szCs w:val="21"/>
        </w:rPr>
        <w:t>备份磋商响应文件应与政采云平台上传的电子磋商响应文件一致。</w:t>
      </w:r>
    </w:p>
    <w:p w14:paraId="7EFA772A">
      <w:pPr>
        <w:pageBreakBefore w:val="0"/>
        <w:kinsoku/>
        <w:wordWrap/>
        <w:overflowPunct/>
        <w:topLinePunct w:val="0"/>
        <w:autoSpaceDE w:val="0"/>
        <w:autoSpaceDN w:val="0"/>
        <w:bidi w:val="0"/>
        <w:adjustRightInd w:val="0"/>
        <w:snapToGrid w:val="0"/>
        <w:spacing w:line="360" w:lineRule="auto"/>
        <w:ind w:firstLine="480" w:firstLineChars="200"/>
        <w:rPr>
          <w:rFonts w:ascii="宋体" w:hAnsi="宋体" w:eastAsia="宋体"/>
          <w:color w:val="auto"/>
          <w:kern w:val="0"/>
          <w:sz w:val="21"/>
          <w:lang w:val="zh-CN"/>
        </w:rPr>
      </w:pPr>
      <w:r>
        <w:rPr>
          <w:rFonts w:hint="eastAsia" w:ascii="宋体" w:hAnsi="宋体" w:cs="宋体"/>
          <w:bCs/>
          <w:color w:val="auto"/>
          <w:sz w:val="24"/>
        </w:rPr>
        <w:t>▲</w:t>
      </w:r>
      <w:r>
        <w:rPr>
          <w:rFonts w:hint="eastAsia" w:ascii="宋体" w:hAnsi="宋体" w:eastAsia="宋体"/>
          <w:color w:val="auto"/>
          <w:sz w:val="21"/>
        </w:rPr>
        <w:t>（2）供应商应对所提供的全部资料的真实性承担法律责任，磋商响应文件</w:t>
      </w:r>
      <w:r>
        <w:rPr>
          <w:rFonts w:hint="eastAsia" w:ascii="宋体" w:hAnsi="宋体" w:eastAsia="宋体"/>
          <w:color w:val="auto"/>
          <w:sz w:val="21"/>
          <w:lang w:val="zh-CN"/>
        </w:rPr>
        <w:t>内容中有要求盖章的地方，</w:t>
      </w:r>
      <w:r>
        <w:rPr>
          <w:rFonts w:hint="eastAsia" w:ascii="宋体" w:hAnsi="宋体" w:eastAsia="宋体"/>
          <w:color w:val="auto"/>
          <w:kern w:val="0"/>
          <w:sz w:val="21"/>
          <w:lang w:val="zh-CN"/>
        </w:rPr>
        <w:t>必须加盖</w:t>
      </w:r>
      <w:r>
        <w:rPr>
          <w:rFonts w:hint="eastAsia" w:ascii="宋体" w:hAnsi="宋体" w:eastAsia="宋体"/>
          <w:color w:val="auto"/>
          <w:sz w:val="21"/>
        </w:rPr>
        <w:t>磋商供应商</w:t>
      </w:r>
      <w:r>
        <w:rPr>
          <w:rFonts w:hint="eastAsia" w:ascii="宋体" w:hAnsi="宋体" w:eastAsia="宋体"/>
          <w:color w:val="auto"/>
          <w:kern w:val="0"/>
          <w:sz w:val="21"/>
          <w:lang w:val="zh-CN"/>
        </w:rPr>
        <w:t>的公章（或CA电子公章）以及法定代表人或全权代表的盖章或签字（CA电子签章或签字），其中</w:t>
      </w:r>
      <w:r>
        <w:rPr>
          <w:rFonts w:hint="eastAsia" w:ascii="宋体" w:hAnsi="宋体" w:eastAsia="宋体"/>
          <w:color w:val="auto"/>
          <w:sz w:val="21"/>
        </w:rPr>
        <w:t>所有证书类文件提供的</w:t>
      </w:r>
      <w:r>
        <w:rPr>
          <w:rFonts w:hint="eastAsia" w:ascii="宋体" w:hAnsi="宋体" w:eastAsia="宋体"/>
          <w:color w:val="auto"/>
          <w:sz w:val="21"/>
          <w:lang w:eastAsia="zh-CN"/>
        </w:rPr>
        <w:t>复印件</w:t>
      </w:r>
      <w:r>
        <w:rPr>
          <w:rFonts w:hint="eastAsia" w:ascii="宋体" w:hAnsi="宋体" w:eastAsia="宋体"/>
          <w:color w:val="auto"/>
          <w:kern w:val="0"/>
          <w:sz w:val="21"/>
        </w:rPr>
        <w:t>必须全部加盖单位公章（或CA电子公章）且</w:t>
      </w:r>
      <w:r>
        <w:rPr>
          <w:rFonts w:hint="eastAsia" w:ascii="宋体" w:hAnsi="宋体" w:eastAsia="宋体"/>
          <w:color w:val="auto"/>
          <w:sz w:val="21"/>
        </w:rPr>
        <w:t>必须在有效期内的。</w:t>
      </w:r>
    </w:p>
    <w:p w14:paraId="5EA6E65C">
      <w:pPr>
        <w:pageBreakBefore w:val="0"/>
        <w:kinsoku/>
        <w:wordWrap/>
        <w:overflowPunct/>
        <w:topLinePunct w:val="0"/>
        <w:bidi w:val="0"/>
        <w:snapToGrid w:val="0"/>
        <w:spacing w:line="360" w:lineRule="auto"/>
        <w:ind w:firstLine="420" w:firstLineChars="200"/>
        <w:jc w:val="left"/>
        <w:rPr>
          <w:rFonts w:ascii="宋体" w:hAnsi="宋体" w:eastAsia="宋体"/>
          <w:color w:val="auto"/>
          <w:sz w:val="21"/>
        </w:rPr>
      </w:pPr>
      <w:r>
        <w:rPr>
          <w:rFonts w:hint="eastAsia" w:ascii="宋体" w:hAnsi="宋体" w:eastAsia="宋体"/>
          <w:color w:val="auto"/>
          <w:kern w:val="0"/>
          <w:sz w:val="21"/>
          <w:lang w:val="zh-CN"/>
        </w:rPr>
        <w:t>（</w:t>
      </w:r>
      <w:r>
        <w:rPr>
          <w:rFonts w:hint="eastAsia" w:ascii="宋体" w:hAnsi="宋体" w:eastAsia="宋体"/>
          <w:color w:val="auto"/>
          <w:kern w:val="0"/>
          <w:sz w:val="21"/>
        </w:rPr>
        <w:t>3</w:t>
      </w:r>
      <w:r>
        <w:rPr>
          <w:rFonts w:hint="eastAsia" w:ascii="宋体" w:hAnsi="宋体" w:eastAsia="宋体"/>
          <w:color w:val="auto"/>
          <w:kern w:val="0"/>
          <w:sz w:val="21"/>
          <w:lang w:val="zh-CN"/>
        </w:rPr>
        <w:t>）</w:t>
      </w:r>
      <w:r>
        <w:rPr>
          <w:rFonts w:hint="eastAsia" w:ascii="宋体" w:hAnsi="宋体" w:eastAsia="宋体"/>
          <w:color w:val="auto"/>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3315A7D5">
      <w:pPr>
        <w:pageBreakBefore w:val="0"/>
        <w:kinsoku/>
        <w:wordWrap/>
        <w:overflowPunct/>
        <w:topLinePunct w:val="0"/>
        <w:bidi w:val="0"/>
        <w:snapToGrid w:val="0"/>
        <w:spacing w:line="360" w:lineRule="auto"/>
        <w:ind w:firstLine="420" w:firstLineChars="200"/>
        <w:jc w:val="left"/>
        <w:rPr>
          <w:rFonts w:ascii="宋体" w:hAnsi="宋体" w:eastAsia="宋体"/>
          <w:color w:val="auto"/>
          <w:kern w:val="0"/>
          <w:sz w:val="21"/>
        </w:rPr>
      </w:pPr>
      <w:r>
        <w:rPr>
          <w:rFonts w:hint="eastAsia" w:ascii="宋体" w:hAnsi="宋体" w:eastAsia="宋体"/>
          <w:color w:val="auto"/>
          <w:sz w:val="21"/>
        </w:rPr>
        <w:t>（4）磋商计量单位，磋商采购文件已有明确规定的，使用磋商采购文件规定的计量单位；磋商采购文件没有规定的，应采用中华人民共和国法定计量单位（货币单位：人民币元），否则视同</w:t>
      </w:r>
      <w:r>
        <w:rPr>
          <w:rFonts w:hint="eastAsia" w:ascii="宋体" w:hAnsi="宋体" w:eastAsia="宋体"/>
          <w:color w:val="auto"/>
          <w:kern w:val="0"/>
          <w:sz w:val="21"/>
        </w:rPr>
        <w:t>未响应。</w:t>
      </w:r>
    </w:p>
    <w:p w14:paraId="70FEDB02">
      <w:pPr>
        <w:pageBreakBefore w:val="0"/>
        <w:kinsoku/>
        <w:wordWrap/>
        <w:overflowPunct/>
        <w:topLinePunct w:val="0"/>
        <w:autoSpaceDE w:val="0"/>
        <w:autoSpaceDN w:val="0"/>
        <w:bidi w:val="0"/>
        <w:adjustRightInd w:val="0"/>
        <w:snapToGrid w:val="0"/>
        <w:spacing w:line="360" w:lineRule="auto"/>
        <w:ind w:firstLine="480"/>
        <w:rPr>
          <w:rFonts w:ascii="宋体" w:hAnsi="宋体" w:eastAsia="宋体"/>
          <w:color w:val="auto"/>
          <w:kern w:val="0"/>
          <w:sz w:val="21"/>
        </w:rPr>
      </w:pPr>
      <w:r>
        <w:rPr>
          <w:rFonts w:hint="eastAsia" w:ascii="宋体" w:hAnsi="宋体" w:eastAsia="宋体"/>
          <w:color w:val="auto"/>
          <w:kern w:val="0"/>
          <w:sz w:val="21"/>
        </w:rPr>
        <w:t>（5）若磋商供应商不按采购文件的要求提供资格审查材料，其风险由磋商供应商自行承担。</w:t>
      </w:r>
    </w:p>
    <w:p w14:paraId="1AC83A9A">
      <w:pPr>
        <w:pageBreakBefore w:val="0"/>
        <w:kinsoku/>
        <w:wordWrap/>
        <w:overflowPunct/>
        <w:topLinePunct w:val="0"/>
        <w:autoSpaceDE w:val="0"/>
        <w:autoSpaceDN w:val="0"/>
        <w:bidi w:val="0"/>
        <w:adjustRightInd w:val="0"/>
        <w:snapToGrid w:val="0"/>
        <w:spacing w:line="360" w:lineRule="auto"/>
        <w:ind w:firstLine="480"/>
        <w:rPr>
          <w:rFonts w:ascii="宋体" w:hAnsi="宋体" w:eastAsia="宋体"/>
          <w:color w:val="auto"/>
          <w:kern w:val="0"/>
          <w:sz w:val="21"/>
        </w:rPr>
      </w:pPr>
      <w:r>
        <w:rPr>
          <w:rFonts w:hint="eastAsia" w:ascii="宋体" w:hAnsi="宋体" w:eastAsia="宋体"/>
          <w:color w:val="auto"/>
          <w:kern w:val="0"/>
          <w:sz w:val="21"/>
        </w:rPr>
        <w:t>（6）与本次磋商无关的内容请不要制作在内，确保磋商响应文件有针对性、简洁明了。</w:t>
      </w:r>
    </w:p>
    <w:p w14:paraId="3B10EA62">
      <w:pPr>
        <w:pageBreakBefore w:val="0"/>
        <w:kinsoku/>
        <w:wordWrap/>
        <w:overflowPunct/>
        <w:topLinePunct w:val="0"/>
        <w:bidi w:val="0"/>
        <w:snapToGrid w:val="0"/>
        <w:spacing w:line="360" w:lineRule="auto"/>
        <w:ind w:left="480"/>
        <w:rPr>
          <w:rFonts w:ascii="宋体" w:hAnsi="宋体" w:eastAsia="宋体"/>
          <w:color w:val="auto"/>
          <w:kern w:val="0"/>
          <w:sz w:val="21"/>
        </w:rPr>
      </w:pPr>
      <w:r>
        <w:rPr>
          <w:rFonts w:hint="eastAsia" w:ascii="宋体" w:hAnsi="宋体" w:eastAsia="宋体"/>
          <w:color w:val="auto"/>
          <w:kern w:val="0"/>
          <w:sz w:val="21"/>
        </w:rPr>
        <w:t>（二）磋商响应文件的制作、封装及递交要求</w:t>
      </w:r>
    </w:p>
    <w:p w14:paraId="31509B15">
      <w:pPr>
        <w:pageBreakBefore w:val="0"/>
        <w:kinsoku/>
        <w:wordWrap/>
        <w:overflowPunct/>
        <w:topLinePunct w:val="0"/>
        <w:autoSpaceDE w:val="0"/>
        <w:autoSpaceDN w:val="0"/>
        <w:bidi w:val="0"/>
        <w:adjustRightInd w:val="0"/>
        <w:spacing w:line="360" w:lineRule="auto"/>
        <w:ind w:left="480"/>
        <w:rPr>
          <w:rFonts w:hint="eastAsia" w:ascii="宋体" w:hAnsi="宋体" w:eastAsia="宋体"/>
          <w:color w:val="auto"/>
          <w:kern w:val="0"/>
          <w:sz w:val="21"/>
          <w:lang w:eastAsia="zh-CN"/>
        </w:rPr>
      </w:pPr>
      <w:r>
        <w:rPr>
          <w:rFonts w:hint="eastAsia" w:ascii="宋体" w:hAnsi="宋体" w:eastAsia="宋体"/>
          <w:color w:val="auto"/>
          <w:kern w:val="0"/>
          <w:sz w:val="21"/>
        </w:rPr>
        <w:t>2、磋商响应文件</w:t>
      </w:r>
      <w:r>
        <w:rPr>
          <w:rFonts w:hint="eastAsia" w:ascii="宋体" w:hAnsi="宋体" w:eastAsia="宋体"/>
          <w:color w:val="auto"/>
          <w:kern w:val="0"/>
          <w:sz w:val="21"/>
          <w:lang w:eastAsia="zh-CN"/>
        </w:rPr>
        <w:t>份数</w:t>
      </w:r>
    </w:p>
    <w:p w14:paraId="471DCB12">
      <w:pPr>
        <w:pageBreakBefore w:val="0"/>
        <w:kinsoku/>
        <w:wordWrap/>
        <w:overflowPunct/>
        <w:topLinePunct w:val="0"/>
        <w:bidi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（1）电子磋商响应文件一份：通过政采云平台电子投标工具（政采云电子投标客户端）生成的，一份为加密标书。</w:t>
      </w:r>
    </w:p>
    <w:p w14:paraId="1FB45CF1">
      <w:pPr>
        <w:pageBreakBefore w:val="0"/>
        <w:kinsoku/>
        <w:wordWrap/>
        <w:overflowPunct/>
        <w:topLinePunct w:val="0"/>
        <w:bidi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（2）备份磋商响应文件（如有，具体详见竞争性磋商公告及前附表）</w:t>
      </w:r>
    </w:p>
    <w:p w14:paraId="66BDF53C">
      <w:pPr>
        <w:pageBreakBefore w:val="0"/>
        <w:kinsoku/>
        <w:wordWrap/>
        <w:overflowPunct/>
        <w:topLinePunct w:val="0"/>
        <w:autoSpaceDE w:val="0"/>
        <w:autoSpaceDN w:val="0"/>
        <w:bidi w:val="0"/>
        <w:adjustRightInd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 xml:space="preserve">3 </w:t>
      </w:r>
      <w:r>
        <w:rPr>
          <w:rFonts w:hint="eastAsia" w:ascii="宋体" w:hAnsi="宋体" w:eastAsia="宋体"/>
          <w:color w:val="auto"/>
          <w:kern w:val="0"/>
          <w:sz w:val="21"/>
          <w:lang w:eastAsia="zh-CN"/>
        </w:rPr>
        <w:t>、</w:t>
      </w:r>
      <w:r>
        <w:rPr>
          <w:rFonts w:hint="eastAsia" w:ascii="宋体" w:hAnsi="宋体" w:eastAsia="宋体"/>
          <w:color w:val="auto"/>
          <w:kern w:val="0"/>
          <w:sz w:val="21"/>
        </w:rPr>
        <w:t>磋商响应文件的递交要求</w:t>
      </w:r>
    </w:p>
    <w:p w14:paraId="4763B0DD">
      <w:pPr>
        <w:pageBreakBefore w:val="0"/>
        <w:kinsoku/>
        <w:wordWrap/>
        <w:overflowPunct/>
        <w:topLinePunct w:val="0"/>
        <w:bidi w:val="0"/>
        <w:snapToGrid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（1）磋商响应文件导入和加密</w:t>
      </w:r>
    </w:p>
    <w:p w14:paraId="4FDBB4BE">
      <w:pPr>
        <w:pageBreakBefore w:val="0"/>
        <w:kinsoku/>
        <w:wordWrap/>
        <w:overflowPunct/>
        <w:topLinePunct w:val="0"/>
        <w:autoSpaceDE w:val="0"/>
        <w:autoSpaceDN w:val="0"/>
        <w:bidi w:val="0"/>
        <w:adjustRightInd w:val="0"/>
        <w:spacing w:line="360" w:lineRule="auto"/>
        <w:ind w:firstLine="480"/>
        <w:rPr>
          <w:rFonts w:ascii="宋体" w:hAnsi="宋体" w:eastAsia="宋体"/>
          <w:color w:val="auto"/>
          <w:kern w:val="0"/>
          <w:sz w:val="21"/>
        </w:rPr>
      </w:pPr>
      <w:r>
        <w:rPr>
          <w:rFonts w:hint="eastAsia" w:ascii="宋体" w:hAnsi="宋体" w:eastAsia="宋体"/>
          <w:color w:val="auto"/>
          <w:kern w:val="0"/>
          <w:sz w:val="21"/>
        </w:rPr>
        <w:t>①磋商供应商应当按照资格证明文件、商务与技术文件和报价文件三部分分别导入相应位置，各文件之间不得导错位置；</w:t>
      </w:r>
    </w:p>
    <w:p w14:paraId="445B0CC5">
      <w:pPr>
        <w:pageBreakBefore w:val="0"/>
        <w:kinsoku/>
        <w:wordWrap/>
        <w:overflowPunct/>
        <w:topLinePunct w:val="0"/>
        <w:bidi w:val="0"/>
        <w:snapToGrid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②磋商响应文件编制好后应当生成电子加密磋商文件，生成电子加密磋商文件具体流程详见【浙江省】供应商-政府采购项目电子交易操作指南网址：https://service.zcygov.cn/#/knowledges/CW1EtGwBFdiHxlNd6I3m/6IMVAG0BFdiHxlNdQ8Na</w:t>
      </w:r>
    </w:p>
    <w:p w14:paraId="5FC8F56B">
      <w:pPr>
        <w:pageBreakBefore w:val="0"/>
        <w:kinsoku/>
        <w:wordWrap/>
        <w:overflowPunct/>
        <w:topLinePunct w:val="0"/>
        <w:bidi w:val="0"/>
        <w:snapToGrid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（2）磋商响应文件的提交</w:t>
      </w:r>
    </w:p>
    <w:p w14:paraId="6A69E8E9">
      <w:pPr>
        <w:pStyle w:val="57"/>
        <w:pageBreakBefore w:val="0"/>
        <w:kinsoku/>
        <w:wordWrap/>
        <w:overflowPunct/>
        <w:topLinePunct w:val="0"/>
        <w:bidi w:val="0"/>
        <w:snapToGrid w:val="0"/>
        <w:spacing w:before="0" w:line="360" w:lineRule="auto"/>
        <w:ind w:firstLine="420"/>
        <w:rPr>
          <w:rFonts w:ascii="宋体" w:hAnsi="宋体"/>
          <w:color w:val="auto"/>
          <w:kern w:val="0"/>
          <w:sz w:val="21"/>
          <w:szCs w:val="24"/>
        </w:rPr>
      </w:pPr>
      <w:r>
        <w:rPr>
          <w:rFonts w:hint="eastAsia" w:ascii="宋体" w:hAnsi="宋体"/>
          <w:color w:val="auto"/>
          <w:kern w:val="0"/>
          <w:sz w:val="21"/>
          <w:szCs w:val="24"/>
        </w:rPr>
        <w:t>①磋商响应文件提交截止时间：见磋商须知“前附表”</w:t>
      </w:r>
      <w:r>
        <w:rPr>
          <w:rFonts w:hint="eastAsia" w:ascii="宋体" w:hAnsi="宋体"/>
          <w:color w:val="auto"/>
          <w:kern w:val="0"/>
          <w:sz w:val="21"/>
          <w:szCs w:val="24"/>
          <w:lang w:eastAsia="zh-CN"/>
        </w:rPr>
        <w:t>；</w:t>
      </w:r>
    </w:p>
    <w:p w14:paraId="3B7B98D3">
      <w:pPr>
        <w:pStyle w:val="57"/>
        <w:pageBreakBefore w:val="0"/>
        <w:kinsoku/>
        <w:wordWrap/>
        <w:overflowPunct/>
        <w:topLinePunct w:val="0"/>
        <w:bidi w:val="0"/>
        <w:spacing w:before="0" w:line="360" w:lineRule="auto"/>
        <w:ind w:firstLine="420"/>
        <w:rPr>
          <w:rFonts w:hint="eastAsia" w:ascii="宋体" w:hAnsi="宋体"/>
          <w:color w:val="auto"/>
          <w:kern w:val="0"/>
          <w:sz w:val="21"/>
          <w:szCs w:val="24"/>
          <w:lang w:val="en-US" w:eastAsia="zh-CN"/>
        </w:rPr>
      </w:pPr>
      <w:r>
        <w:rPr>
          <w:rFonts w:hint="eastAsia" w:ascii="宋体" w:hAnsi="宋体"/>
          <w:color w:val="auto"/>
          <w:kern w:val="0"/>
          <w:sz w:val="21"/>
          <w:szCs w:val="24"/>
          <w:lang w:val="en-US" w:eastAsia="zh-CN"/>
        </w:rPr>
        <w:t>②磋商响应文件提交地点：见磋商须知“前附表”。</w:t>
      </w:r>
    </w:p>
    <w:p w14:paraId="069BB71B">
      <w:pPr>
        <w:pStyle w:val="57"/>
        <w:pageBreakBefore w:val="0"/>
        <w:kinsoku/>
        <w:wordWrap/>
        <w:overflowPunct/>
        <w:topLinePunct w:val="0"/>
        <w:bidi w:val="0"/>
        <w:spacing w:before="0" w:line="360" w:lineRule="auto"/>
        <w:ind w:firstLine="420"/>
        <w:rPr>
          <w:rFonts w:ascii="宋体" w:hAnsi="宋体"/>
          <w:color w:val="auto"/>
          <w:kern w:val="0"/>
          <w:sz w:val="21"/>
          <w:szCs w:val="24"/>
        </w:rPr>
      </w:pPr>
      <w:r>
        <w:rPr>
          <w:rFonts w:hint="eastAsia" w:ascii="宋体" w:hAnsi="宋体"/>
          <w:color w:val="auto"/>
          <w:kern w:val="0"/>
          <w:sz w:val="21"/>
          <w:szCs w:val="24"/>
          <w:lang w:val="en-US" w:eastAsia="zh-CN"/>
        </w:rPr>
        <w:t>（3）不予接收的磋商响应文件情形</w:t>
      </w:r>
    </w:p>
    <w:p w14:paraId="5D7A82E0">
      <w:pPr>
        <w:pStyle w:val="57"/>
        <w:pageBreakBefore w:val="0"/>
        <w:kinsoku/>
        <w:wordWrap/>
        <w:overflowPunct/>
        <w:topLinePunct w:val="0"/>
        <w:bidi w:val="0"/>
        <w:spacing w:before="0" w:line="360" w:lineRule="auto"/>
        <w:ind w:firstLine="420"/>
        <w:rPr>
          <w:rFonts w:hint="eastAsia" w:ascii="宋体" w:hAnsi="宋体"/>
          <w:color w:val="auto"/>
          <w:kern w:val="0"/>
          <w:sz w:val="21"/>
          <w:szCs w:val="24"/>
          <w:lang w:val="en-US" w:eastAsia="zh-CN"/>
        </w:rPr>
      </w:pPr>
      <w:r>
        <w:rPr>
          <w:rFonts w:hint="eastAsia" w:ascii="宋体" w:hAnsi="宋体"/>
          <w:color w:val="auto"/>
          <w:kern w:val="0"/>
          <w:sz w:val="21"/>
          <w:szCs w:val="24"/>
          <w:lang w:val="en-US" w:eastAsia="zh-CN"/>
        </w:rPr>
        <w:t>①磋商截止时间前未完成传输的磋商响应文件；</w:t>
      </w:r>
    </w:p>
    <w:p w14:paraId="7FECB6DB">
      <w:pPr>
        <w:pStyle w:val="57"/>
        <w:pageBreakBefore w:val="0"/>
        <w:kinsoku/>
        <w:wordWrap/>
        <w:overflowPunct/>
        <w:topLinePunct w:val="0"/>
        <w:bidi w:val="0"/>
        <w:spacing w:before="0" w:line="360" w:lineRule="auto"/>
        <w:ind w:firstLine="420"/>
        <w:rPr>
          <w:rFonts w:hint="eastAsia" w:ascii="宋体" w:hAnsi="宋体"/>
          <w:color w:val="auto"/>
          <w:kern w:val="0"/>
          <w:sz w:val="21"/>
          <w:szCs w:val="24"/>
        </w:rPr>
      </w:pPr>
      <w:r>
        <w:rPr>
          <w:rFonts w:hint="eastAsia" w:ascii="宋体" w:hAnsi="宋体"/>
          <w:color w:val="auto"/>
          <w:kern w:val="0"/>
          <w:sz w:val="21"/>
          <w:szCs w:val="24"/>
        </w:rPr>
        <w:t>②未生成加密的磋商响应文件；</w:t>
      </w:r>
    </w:p>
    <w:p w14:paraId="1C91FE43">
      <w:pPr>
        <w:pStyle w:val="57"/>
        <w:pageBreakBefore w:val="0"/>
        <w:kinsoku/>
        <w:wordWrap/>
        <w:overflowPunct/>
        <w:topLinePunct w:val="0"/>
        <w:bidi w:val="0"/>
        <w:spacing w:before="0" w:line="360" w:lineRule="auto"/>
        <w:ind w:firstLine="420"/>
        <w:rPr>
          <w:rFonts w:ascii="宋体" w:hAnsi="宋体"/>
          <w:color w:val="auto"/>
          <w:kern w:val="0"/>
          <w:sz w:val="21"/>
          <w:szCs w:val="24"/>
        </w:rPr>
      </w:pPr>
      <w:r>
        <w:rPr>
          <w:rFonts w:hint="eastAsia" w:ascii="宋体" w:hAnsi="宋体"/>
          <w:color w:val="auto"/>
          <w:kern w:val="0"/>
          <w:sz w:val="21"/>
          <w:szCs w:val="24"/>
          <w:lang w:eastAsia="zh-CN"/>
        </w:rPr>
        <w:t>（</w:t>
      </w:r>
      <w:r>
        <w:rPr>
          <w:rFonts w:hint="eastAsia" w:ascii="宋体" w:hAnsi="宋体"/>
          <w:color w:val="auto"/>
          <w:kern w:val="0"/>
          <w:sz w:val="21"/>
          <w:szCs w:val="24"/>
        </w:rPr>
        <w:t>4）如有特殊情况，采购代理机构延长截止时间和开标时间，采购代理机构和磋商供应商的权利和义务将受到新的截止时间和开标时间的约束。</w:t>
      </w:r>
    </w:p>
    <w:p w14:paraId="5B9649E1">
      <w:pPr>
        <w:pStyle w:val="13"/>
        <w:pageBreakBefore w:val="0"/>
        <w:kinsoku/>
        <w:wordWrap/>
        <w:overflowPunct/>
        <w:topLinePunct w:val="0"/>
        <w:bidi w:val="0"/>
        <w:spacing w:line="360" w:lineRule="auto"/>
        <w:ind w:firstLine="420" w:firstLineChars="200"/>
        <w:rPr>
          <w:rFonts w:hAnsi="宋体" w:eastAsia="宋体"/>
          <w:color w:val="auto"/>
          <w:kern w:val="0"/>
          <w:szCs w:val="24"/>
        </w:rPr>
      </w:pPr>
      <w:r>
        <w:rPr>
          <w:rFonts w:hint="eastAsia" w:hAnsi="宋体" w:eastAsia="宋体"/>
          <w:color w:val="auto"/>
          <w:kern w:val="0"/>
          <w:szCs w:val="24"/>
          <w:lang w:val="en-US" w:eastAsia="zh-CN"/>
        </w:rPr>
        <w:t>4、</w:t>
      </w:r>
      <w:r>
        <w:rPr>
          <w:rFonts w:hint="eastAsia" w:hAnsi="宋体" w:eastAsia="宋体"/>
          <w:color w:val="auto"/>
          <w:kern w:val="0"/>
          <w:szCs w:val="24"/>
        </w:rPr>
        <w:t>磋商响应文件的补充、修改和撤回</w:t>
      </w:r>
    </w:p>
    <w:p w14:paraId="04EDFDBF">
      <w:pPr>
        <w:pStyle w:val="57"/>
        <w:pageBreakBefore w:val="0"/>
        <w:kinsoku/>
        <w:wordWrap/>
        <w:overflowPunct/>
        <w:topLinePunct w:val="0"/>
        <w:bidi w:val="0"/>
        <w:spacing w:before="0" w:line="360" w:lineRule="auto"/>
        <w:ind w:firstLine="420"/>
        <w:rPr>
          <w:rFonts w:ascii="宋体" w:hAnsi="宋体"/>
          <w:color w:val="auto"/>
          <w:kern w:val="0"/>
          <w:sz w:val="21"/>
          <w:szCs w:val="24"/>
        </w:rPr>
      </w:pPr>
      <w:r>
        <w:rPr>
          <w:rFonts w:hint="eastAsia" w:ascii="宋体" w:hAnsi="宋体"/>
          <w:color w:val="auto"/>
          <w:kern w:val="0"/>
          <w:sz w:val="21"/>
          <w:szCs w:val="24"/>
          <w:lang w:val="en-US" w:eastAsia="zh-CN"/>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r>
        <w:rPr>
          <w:rFonts w:hint="eastAsia" w:ascii="宋体" w:hAnsi="宋体"/>
          <w:color w:val="auto"/>
          <w:kern w:val="0"/>
          <w:sz w:val="21"/>
          <w:szCs w:val="24"/>
        </w:rPr>
        <w:t>。</w:t>
      </w:r>
    </w:p>
    <w:p w14:paraId="69DF3A39">
      <w:pPr>
        <w:pStyle w:val="57"/>
        <w:pageBreakBefore w:val="0"/>
        <w:kinsoku/>
        <w:wordWrap/>
        <w:overflowPunct/>
        <w:topLinePunct w:val="0"/>
        <w:bidi w:val="0"/>
        <w:spacing w:before="0" w:line="360" w:lineRule="auto"/>
        <w:ind w:firstLine="420"/>
        <w:rPr>
          <w:rFonts w:ascii="宋体" w:hAnsi="宋体"/>
          <w:color w:val="auto"/>
          <w:kern w:val="0"/>
          <w:sz w:val="21"/>
          <w:szCs w:val="24"/>
        </w:rPr>
      </w:pPr>
      <w:r>
        <w:rPr>
          <w:rFonts w:hint="eastAsia" w:ascii="宋体" w:hAnsi="宋体"/>
          <w:color w:val="auto"/>
          <w:kern w:val="0"/>
          <w:sz w:val="21"/>
          <w:szCs w:val="24"/>
          <w:lang w:val="en-US" w:eastAsia="zh-CN"/>
        </w:rPr>
        <w:t>（2）在磋商响应文件递交截止时间后,磋商供应商不得修改或撤回已提交的磋商响应文件</w:t>
      </w:r>
      <w:r>
        <w:rPr>
          <w:rFonts w:hint="eastAsia" w:ascii="宋体" w:hAnsi="宋体"/>
          <w:color w:val="auto"/>
          <w:kern w:val="0"/>
          <w:sz w:val="21"/>
          <w:szCs w:val="24"/>
        </w:rPr>
        <w:t>。</w:t>
      </w:r>
    </w:p>
    <w:p w14:paraId="2B0DFCD2">
      <w:pPr>
        <w:pageBreakBefore w:val="0"/>
        <w:tabs>
          <w:tab w:val="left" w:pos="1418"/>
        </w:tabs>
        <w:kinsoku/>
        <w:wordWrap/>
        <w:overflowPunct/>
        <w:topLinePunct w:val="0"/>
        <w:autoSpaceDE w:val="0"/>
        <w:autoSpaceDN w:val="0"/>
        <w:bidi w:val="0"/>
        <w:adjustRightInd w:val="0"/>
        <w:snapToGrid w:val="0"/>
        <w:spacing w:line="360" w:lineRule="auto"/>
        <w:ind w:left="480"/>
        <w:rPr>
          <w:rFonts w:ascii="宋体" w:hAnsi="宋体" w:eastAsia="宋体"/>
          <w:color w:val="auto"/>
          <w:kern w:val="0"/>
          <w:sz w:val="21"/>
        </w:rPr>
      </w:pPr>
      <w:r>
        <w:rPr>
          <w:rFonts w:hint="eastAsia" w:ascii="宋体" w:hAnsi="宋体" w:eastAsia="宋体"/>
          <w:color w:val="auto"/>
          <w:kern w:val="0"/>
          <w:sz w:val="21"/>
        </w:rPr>
        <w:t>（三）磋商响应文件的有效期</w:t>
      </w:r>
    </w:p>
    <w:p w14:paraId="0752E6C2">
      <w:pPr>
        <w:pageBreakBefore w:val="0"/>
        <w:kinsoku/>
        <w:wordWrap/>
        <w:overflowPunct/>
        <w:topLinePunct w:val="0"/>
        <w:bidi w:val="0"/>
        <w:snapToGrid w:val="0"/>
        <w:spacing w:line="360" w:lineRule="auto"/>
        <w:ind w:firstLine="420" w:firstLineChars="200"/>
        <w:rPr>
          <w:rFonts w:ascii="宋体" w:hAnsi="宋体" w:eastAsia="宋体"/>
          <w:color w:val="auto"/>
          <w:kern w:val="0"/>
          <w:sz w:val="21"/>
        </w:rPr>
      </w:pPr>
      <w:r>
        <w:rPr>
          <w:rFonts w:hint="eastAsia" w:ascii="宋体" w:hAnsi="宋体" w:eastAsia="宋体"/>
          <w:color w:val="auto"/>
          <w:kern w:val="0"/>
          <w:sz w:val="21"/>
        </w:rPr>
        <w:t>▲1、自磋商响应文件提交截止之日起</w:t>
      </w:r>
      <w:r>
        <w:rPr>
          <w:rFonts w:ascii="宋体" w:hAnsi="宋体" w:eastAsia="宋体"/>
          <w:color w:val="auto"/>
          <w:kern w:val="0"/>
          <w:sz w:val="21"/>
        </w:rPr>
        <w:t>90</w:t>
      </w:r>
      <w:r>
        <w:rPr>
          <w:rFonts w:hint="eastAsia" w:ascii="宋体" w:hAnsi="宋体" w:eastAsia="宋体"/>
          <w:color w:val="auto"/>
          <w:kern w:val="0"/>
          <w:sz w:val="21"/>
        </w:rPr>
        <w:t>天磋商响应文件应保持有效。有效期短于这个规定期限的磋商响应文件将被拒绝。成交磋商响应文件有效期顺延至合同履行完毕，在此有效期内未经同意，磋商响应文件的一切内容和补充承诺均为持续有效且不予改变。</w:t>
      </w:r>
    </w:p>
    <w:p w14:paraId="39579956">
      <w:pPr>
        <w:pageBreakBefore w:val="0"/>
        <w:numPr>
          <w:ilvl w:val="0"/>
          <w:numId w:val="0"/>
        </w:numPr>
        <w:kinsoku/>
        <w:wordWrap/>
        <w:overflowPunct/>
        <w:topLinePunct w:val="0"/>
        <w:bidi w:val="0"/>
        <w:snapToGrid w:val="0"/>
        <w:spacing w:line="360" w:lineRule="auto"/>
        <w:ind w:leftChars="0" w:firstLine="420" w:firstLineChars="200"/>
        <w:rPr>
          <w:rFonts w:hint="eastAsia" w:ascii="宋体" w:hAnsi="宋体" w:eastAsia="宋体" w:cs="Times New Roman"/>
          <w:color w:val="auto"/>
          <w:kern w:val="0"/>
          <w:sz w:val="21"/>
        </w:rPr>
      </w:pPr>
      <w:r>
        <w:rPr>
          <w:rFonts w:hint="eastAsia" w:ascii="宋体" w:hAnsi="宋体" w:eastAsia="宋体"/>
          <w:color w:val="auto"/>
          <w:kern w:val="0"/>
          <w:sz w:val="21"/>
          <w:lang w:val="en-US" w:eastAsia="zh-CN"/>
        </w:rPr>
        <w:t>2、</w:t>
      </w:r>
      <w:r>
        <w:rPr>
          <w:rFonts w:hint="eastAsia" w:ascii="宋体" w:hAnsi="宋体" w:eastAsia="宋体"/>
          <w:color w:val="auto"/>
          <w:kern w:val="0"/>
          <w:sz w:val="21"/>
        </w:rPr>
        <w:t>在特殊情况下，采购人可与磋商供应商协商延长磋商响应文件的有效期，这种要求和答复</w:t>
      </w:r>
      <w:r>
        <w:rPr>
          <w:rFonts w:hint="eastAsia" w:ascii="宋体" w:hAnsi="宋体" w:eastAsia="宋体" w:cs="Times New Roman"/>
          <w:color w:val="auto"/>
          <w:kern w:val="0"/>
          <w:sz w:val="21"/>
        </w:rPr>
        <w:t>均以书面形式进行。</w:t>
      </w:r>
    </w:p>
    <w:p w14:paraId="590B990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20" w:firstLineChars="200"/>
        <w:textAlignment w:val="auto"/>
        <w:rPr>
          <w:color w:val="auto"/>
        </w:rPr>
      </w:pPr>
      <w:r>
        <w:rPr>
          <w:rFonts w:hint="eastAsia" w:ascii="宋体" w:hAnsi="宋体" w:eastAsia="宋体" w:cs="Times New Roman"/>
          <w:color w:val="auto"/>
          <w:kern w:val="0"/>
          <w:sz w:val="21"/>
        </w:rPr>
        <w:t>3、供应商可拒绝接受延期要求。同意延长有效期的供应商不能修改供应商磋商文件和承诺的内容</w:t>
      </w:r>
      <w:r>
        <w:rPr>
          <w:rFonts w:hint="eastAsia"/>
          <w:color w:val="auto"/>
        </w:rPr>
        <w:t>。</w:t>
      </w:r>
    </w:p>
    <w:p w14:paraId="500ED1C6">
      <w:pPr>
        <w:pageBreakBefore w:val="0"/>
        <w:tabs>
          <w:tab w:val="left" w:pos="1418"/>
        </w:tabs>
        <w:kinsoku/>
        <w:wordWrap/>
        <w:overflowPunct/>
        <w:topLinePunct w:val="0"/>
        <w:autoSpaceDE w:val="0"/>
        <w:autoSpaceDN w:val="0"/>
        <w:bidi w:val="0"/>
        <w:adjustRightInd w:val="0"/>
        <w:snapToGrid w:val="0"/>
        <w:spacing w:line="360" w:lineRule="auto"/>
        <w:ind w:left="60"/>
        <w:jc w:val="center"/>
        <w:rPr>
          <w:rFonts w:ascii="宋体" w:hAnsi="宋体" w:eastAsia="宋体"/>
          <w:b/>
          <w:color w:val="auto"/>
          <w:kern w:val="0"/>
          <w:sz w:val="21"/>
        </w:rPr>
      </w:pPr>
      <w:r>
        <w:rPr>
          <w:rFonts w:hint="eastAsia" w:ascii="宋体" w:hAnsi="宋体" w:eastAsia="宋体"/>
          <w:b/>
          <w:color w:val="auto"/>
          <w:kern w:val="0"/>
          <w:sz w:val="21"/>
        </w:rPr>
        <w:t>四、磋商</w:t>
      </w:r>
    </w:p>
    <w:p w14:paraId="46DAFAB7">
      <w:pPr>
        <w:pStyle w:val="2"/>
        <w:pageBreakBefore w:val="0"/>
        <w:kinsoku/>
        <w:wordWrap/>
        <w:overflowPunct/>
        <w:topLinePunct w:val="0"/>
        <w:bidi w:val="0"/>
        <w:spacing w:line="360" w:lineRule="auto"/>
        <w:ind w:left="60" w:firstLine="420" w:firstLineChars="200"/>
        <w:rPr>
          <w:color w:val="auto"/>
        </w:rPr>
      </w:pPr>
      <w:r>
        <w:rPr>
          <w:rFonts w:hint="eastAsia" w:ascii="宋体" w:hAnsi="宋体" w:eastAsia="宋体"/>
          <w:color w:val="auto"/>
          <w:kern w:val="0"/>
          <w:szCs w:val="24"/>
        </w:rPr>
        <w:t>本项目通过政府采购云平台进行开标、资格审查、评审、询标，供应商均应当准时在线参加，否则产生的风险由供应商自行承担（供应商务必不要离开电脑太久，并留意手机短信，建议供应商</w:t>
      </w:r>
      <w:r>
        <w:rPr>
          <w:rFonts w:hint="eastAsia"/>
          <w:color w:val="auto"/>
        </w:rPr>
        <w:t>提前做好检查“政府采购云平台”内，关于“项目采购”的岗位权限是否勾选。如有问题，请致电</w:t>
      </w:r>
      <w:r>
        <w:rPr>
          <w:rFonts w:hint="eastAsia" w:eastAsia="宋体"/>
          <w:color w:val="auto"/>
          <w:lang w:eastAsia="zh-CN"/>
        </w:rPr>
        <w:t>政采云全国统一服务热线95763（服务时间为工作日8:00-20:00）</w:t>
      </w:r>
      <w:r>
        <w:rPr>
          <w:rFonts w:hint="eastAsia"/>
          <w:color w:val="auto"/>
        </w:rPr>
        <w:t>）。</w:t>
      </w:r>
    </w:p>
    <w:p w14:paraId="5D480021">
      <w:pPr>
        <w:pageBreakBefore w:val="0"/>
        <w:kinsoku/>
        <w:wordWrap/>
        <w:overflowPunct/>
        <w:topLinePunct w:val="0"/>
        <w:autoSpaceDE w:val="0"/>
        <w:autoSpaceDN w:val="0"/>
        <w:bidi w:val="0"/>
        <w:adjustRightInd w:val="0"/>
        <w:snapToGrid w:val="0"/>
        <w:spacing w:line="360" w:lineRule="auto"/>
        <w:ind w:firstLine="210" w:firstLineChars="100"/>
        <w:rPr>
          <w:rFonts w:ascii="宋体" w:hAnsi="宋体" w:eastAsia="宋体"/>
          <w:b/>
          <w:color w:val="auto"/>
          <w:sz w:val="21"/>
        </w:rPr>
      </w:pPr>
      <w:r>
        <w:rPr>
          <w:rFonts w:hint="eastAsia" w:ascii="宋体" w:hAnsi="宋体"/>
          <w:b/>
          <w:color w:val="auto"/>
          <w:sz w:val="21"/>
        </w:rPr>
        <w:t>（一）磋商事项</w:t>
      </w:r>
    </w:p>
    <w:p w14:paraId="221E46C1">
      <w:pPr>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7B7AFAEE">
      <w:pPr>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宋体"/>
          <w:color w:val="auto"/>
          <w:sz w:val="21"/>
          <w:szCs w:val="21"/>
          <w:lang w:val="zh-CN"/>
        </w:rPr>
      </w:pPr>
      <w:r>
        <w:rPr>
          <w:rFonts w:hint="eastAsia" w:ascii="宋体" w:hAnsi="宋体" w:eastAsia="宋体" w:cs="宋体"/>
          <w:color w:val="auto"/>
          <w:sz w:val="21"/>
          <w:szCs w:val="21"/>
          <w:lang w:val="zh-CN"/>
        </w:rPr>
        <w:t>2、评标委员会成员不得参加开标活动。</w:t>
      </w:r>
    </w:p>
    <w:p w14:paraId="111A0ED2">
      <w:pPr>
        <w:pageBreakBefore w:val="0"/>
        <w:kinsoku/>
        <w:wordWrap/>
        <w:overflowPunct/>
        <w:topLinePunct w:val="0"/>
        <w:autoSpaceDE w:val="0"/>
        <w:autoSpaceDN w:val="0"/>
        <w:bidi w:val="0"/>
        <w:adjustRightInd w:val="0"/>
        <w:spacing w:line="360" w:lineRule="auto"/>
        <w:ind w:firstLine="420" w:firstLineChars="200"/>
        <w:jc w:val="left"/>
        <w:rPr>
          <w:color w:val="auto"/>
          <w:sz w:val="21"/>
          <w:szCs w:val="21"/>
        </w:rPr>
      </w:pPr>
      <w:r>
        <w:rPr>
          <w:rFonts w:hint="eastAsia" w:ascii="宋体" w:hAnsi="宋体" w:eastAsia="宋体" w:cs="宋体"/>
          <w:color w:val="auto"/>
          <w:sz w:val="21"/>
          <w:szCs w:val="21"/>
          <w:lang w:val="zh-CN"/>
        </w:rPr>
        <w:t>3、本次开标采用先评审资格证明文件和商务与技术文件，后评审报价文件的方式进行。</w:t>
      </w:r>
    </w:p>
    <w:p w14:paraId="54652EDF">
      <w:pPr>
        <w:pageBreakBefore w:val="0"/>
        <w:kinsoku/>
        <w:wordWrap/>
        <w:overflowPunct/>
        <w:topLinePunct w:val="0"/>
        <w:autoSpaceDE w:val="0"/>
        <w:autoSpaceDN w:val="0"/>
        <w:bidi w:val="0"/>
        <w:adjustRightInd w:val="0"/>
        <w:snapToGrid w:val="0"/>
        <w:spacing w:line="360" w:lineRule="auto"/>
        <w:ind w:firstLine="210" w:firstLineChars="100"/>
        <w:rPr>
          <w:rFonts w:ascii="宋体" w:hAnsi="宋体"/>
          <w:color w:val="auto"/>
          <w:kern w:val="0"/>
          <w:sz w:val="21"/>
        </w:rPr>
      </w:pPr>
      <w:r>
        <w:rPr>
          <w:rFonts w:hint="eastAsia" w:ascii="宋体" w:hAnsi="宋体"/>
          <w:b/>
          <w:color w:val="auto"/>
          <w:sz w:val="21"/>
        </w:rPr>
        <w:t>（二）磋商程序</w:t>
      </w:r>
    </w:p>
    <w:p w14:paraId="292B6EA4">
      <w:pPr>
        <w:pageBreakBefore w:val="0"/>
        <w:kinsoku/>
        <w:wordWrap/>
        <w:overflowPunct/>
        <w:topLinePunct w:val="0"/>
        <w:autoSpaceDE w:val="0"/>
        <w:autoSpaceDN w:val="0"/>
        <w:bidi w:val="0"/>
        <w:adjustRightInd w:val="0"/>
        <w:spacing w:line="36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Pr>
          <w:rFonts w:hint="eastAsia" w:ascii="宋体" w:hAnsi="宋体" w:eastAsia="宋体" w:cs="宋体"/>
          <w:color w:val="auto"/>
          <w:sz w:val="21"/>
          <w:szCs w:val="21"/>
          <w:lang w:val="zh-CN" w:eastAsia="zh-CN"/>
        </w:rPr>
        <w:t>解密时间</w:t>
      </w:r>
      <w:r>
        <w:rPr>
          <w:rFonts w:hint="eastAsia" w:ascii="宋体" w:hAnsi="宋体" w:eastAsia="宋体" w:cs="宋体"/>
          <w:color w:val="auto"/>
          <w:sz w:val="21"/>
          <w:szCs w:val="21"/>
          <w:lang w:val="en-US" w:eastAsia="zh-CN"/>
        </w:rPr>
        <w:t>30分钟。</w:t>
      </w:r>
    </w:p>
    <w:p w14:paraId="30BD3F2B">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开启投标文件，由磋商小组进行资格审查；如发现投标供应商所提交的资格证明材料不合法或与事实不符，采购人可取消其投标资格并追究投标供应商的法律责任。如资格证明材料无法证明其符合招标文件规定的“投标供应商资格要求”的，磋商小组将对其作资格审查不通过处理（无效投标），并不进入后续评审。</w:t>
      </w:r>
    </w:p>
    <w:p w14:paraId="6D2DB599">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）资格审查通过的投标供应商的商务技术文件进入符合性审查、商务技术评审；</w:t>
      </w:r>
    </w:p>
    <w:p w14:paraId="6D9AF4A3">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）公布资格审查、符合性审查、商务技术文件评审无效供应商名称及理由；公布有效磋商供应商的名单。</w:t>
      </w:r>
    </w:p>
    <w:p w14:paraId="62DFA745">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）磋商小组所有成员集中与单一供应商分别进行磋商，并给予所有参加磋商的供应商平等的磋商机会。</w:t>
      </w:r>
    </w:p>
    <w:p w14:paraId="1AB92F4A">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）磋商文件能够详细列明采购标的的技术、服务要求的，磋商结束后，磋商小组将要求所有实质性响应的供应商在规定时间内在“政采云平台”上提交最终报价，最终报价是供应商响应文件的有效组成部分。</w:t>
      </w:r>
      <w:r>
        <w:rPr>
          <w:rFonts w:hint="eastAsia" w:ascii="宋体" w:hAnsi="宋体" w:eastAsia="宋体" w:cs="宋体"/>
          <w:color w:val="auto"/>
          <w:sz w:val="21"/>
          <w:szCs w:val="21"/>
          <w:lang w:val="zh-CN" w:eastAsia="zh-CN"/>
        </w:rPr>
        <w:t>最终报价时间为</w:t>
      </w:r>
      <w:r>
        <w:rPr>
          <w:rFonts w:hint="eastAsia" w:ascii="宋体" w:hAnsi="宋体" w:eastAsia="宋体" w:cs="宋体"/>
          <w:color w:val="auto"/>
          <w:sz w:val="21"/>
          <w:szCs w:val="21"/>
          <w:lang w:val="en-US" w:eastAsia="zh-CN"/>
        </w:rPr>
        <w:t>30分钟，以系统显示倒计时为准。</w:t>
      </w:r>
    </w:p>
    <w:p w14:paraId="125AC5DF">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）经磋商确定最终采购需求和提交最终报价的供应商后，由磋商小组采用综合评分法对提交最终报价的供应商的响应文件和最终报价进行综合评分。</w:t>
      </w:r>
    </w:p>
    <w:p w14:paraId="6F3D3E37">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）磋商小组根据综合评分情况，按照评审得分由高到低顺序确定预成交供应商，编写评审报告。</w:t>
      </w:r>
    </w:p>
    <w:p w14:paraId="46407716">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rPr>
        <w:t>）评审结束后，通过发送邮件形式公布中标（成交）候选供应商名单，或在政釆云平台上进行公布结果。</w:t>
      </w:r>
    </w:p>
    <w:p w14:paraId="7EEF6B6F">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特别说明：1、如遇“政府采购云平台”电子化开标或评审程序调整的，按调整后程序执行。</w:t>
      </w:r>
    </w:p>
    <w:p w14:paraId="4D8DF42B">
      <w:pPr>
        <w:pageBreakBefore w:val="0"/>
        <w:numPr>
          <w:ilvl w:val="0"/>
          <w:numId w:val="5"/>
        </w:numPr>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41C76773">
      <w:pPr>
        <w:pageBreakBefore w:val="0"/>
        <w:kinsoku/>
        <w:wordWrap/>
        <w:overflowPunct/>
        <w:topLinePunct w:val="0"/>
        <w:autoSpaceDE w:val="0"/>
        <w:autoSpaceDN w:val="0"/>
        <w:bidi w:val="0"/>
        <w:adjustRightInd w:val="0"/>
        <w:snapToGrid w:val="0"/>
        <w:spacing w:line="360" w:lineRule="auto"/>
        <w:ind w:firstLine="210" w:firstLineChars="100"/>
        <w:rPr>
          <w:rFonts w:hint="eastAsia" w:ascii="宋体" w:hAnsi="宋体"/>
          <w:b/>
          <w:color w:val="auto"/>
          <w:sz w:val="21"/>
        </w:rPr>
      </w:pPr>
      <w:r>
        <w:rPr>
          <w:rFonts w:hint="eastAsia" w:ascii="宋体" w:hAnsi="宋体"/>
          <w:b/>
          <w:color w:val="auto"/>
          <w:sz w:val="21"/>
          <w:lang w:val="zh-CN"/>
        </w:rPr>
        <w:t>（</w:t>
      </w:r>
      <w:r>
        <w:rPr>
          <w:rFonts w:hint="eastAsia" w:ascii="宋体" w:hAnsi="宋体" w:eastAsia="宋体"/>
          <w:b/>
          <w:color w:val="auto"/>
          <w:sz w:val="21"/>
          <w:lang w:eastAsia="zh-CN"/>
        </w:rPr>
        <w:t>三</w:t>
      </w:r>
      <w:r>
        <w:rPr>
          <w:rFonts w:hint="eastAsia" w:ascii="宋体" w:hAnsi="宋体"/>
          <w:b/>
          <w:color w:val="auto"/>
          <w:sz w:val="21"/>
        </w:rPr>
        <w:t>）澄清问题的形式</w:t>
      </w:r>
    </w:p>
    <w:p w14:paraId="29A1A1EF">
      <w:pPr>
        <w:pageBreakBefore w:val="0"/>
        <w:kinsoku/>
        <w:wordWrap/>
        <w:overflowPunct/>
        <w:topLinePunct w:val="0"/>
        <w:bidi w:val="0"/>
        <w:snapToGrid w:val="0"/>
        <w:spacing w:line="360" w:lineRule="auto"/>
        <w:ind w:firstLine="420" w:firstLineChars="200"/>
        <w:rPr>
          <w:rFonts w:ascii="宋体" w:hAnsi="宋体"/>
          <w:color w:val="auto"/>
          <w:sz w:val="21"/>
        </w:rPr>
      </w:pPr>
      <w:r>
        <w:rPr>
          <w:rFonts w:hint="eastAsia" w:ascii="宋体" w:hAnsi="宋体"/>
          <w:color w:val="auto"/>
          <w:sz w:val="21"/>
        </w:rPr>
        <w:t>（1）评审中需要供应商对磋商响应文件作出澄清、说明或者补正的，评标委员会将以书面形式（或通过“政府采购云平台”）进行询标。给予供应商提交澄清说明或补正的时间</w:t>
      </w:r>
      <w:r>
        <w:rPr>
          <w:rFonts w:hint="eastAsia" w:ascii="宋体" w:hAnsi="宋体" w:eastAsia="宋体"/>
          <w:color w:val="auto"/>
          <w:sz w:val="21"/>
          <w:lang w:eastAsia="zh-CN"/>
        </w:rPr>
        <w:t>为</w:t>
      </w:r>
      <w:r>
        <w:rPr>
          <w:rFonts w:hint="eastAsia" w:ascii="宋体" w:hAnsi="宋体" w:eastAsia="宋体"/>
          <w:color w:val="auto"/>
          <w:sz w:val="21"/>
          <w:lang w:val="en-US" w:eastAsia="zh-CN"/>
        </w:rPr>
        <w:t>30分钟</w:t>
      </w:r>
      <w:r>
        <w:rPr>
          <w:rFonts w:hint="eastAsia" w:ascii="宋体" w:hAnsi="宋体"/>
          <w:color w:val="auto"/>
          <w:sz w:val="21"/>
        </w:rPr>
        <w:t>，供应商已经明确表示澄清说明或补正完毕的除外。供应商务必在线等待，留意手机短信，及时在线澄清、说明或补正。</w:t>
      </w:r>
    </w:p>
    <w:p w14:paraId="7829F630">
      <w:pPr>
        <w:pageBreakBefore w:val="0"/>
        <w:kinsoku/>
        <w:wordWrap/>
        <w:overflowPunct/>
        <w:topLinePunct w:val="0"/>
        <w:bidi w:val="0"/>
        <w:snapToGrid w:val="0"/>
        <w:spacing w:line="360" w:lineRule="auto"/>
        <w:ind w:firstLine="420" w:firstLineChars="200"/>
        <w:rPr>
          <w:rFonts w:ascii="宋体" w:hAnsi="宋体"/>
          <w:color w:val="auto"/>
          <w:sz w:val="21"/>
        </w:rPr>
      </w:pPr>
      <w:r>
        <w:rPr>
          <w:rFonts w:hint="eastAsia" w:ascii="宋体" w:hAnsi="宋体"/>
          <w:color w:val="auto"/>
          <w:sz w:val="21"/>
        </w:rPr>
        <w:t>（2）供应商的的澄清、说明或补正将作为磋商响应文件的一部分。</w:t>
      </w:r>
    </w:p>
    <w:p w14:paraId="454C7E10">
      <w:pPr>
        <w:pageBreakBefore w:val="0"/>
        <w:kinsoku/>
        <w:wordWrap/>
        <w:overflowPunct/>
        <w:topLinePunct w:val="0"/>
        <w:bidi w:val="0"/>
        <w:snapToGrid w:val="0"/>
        <w:spacing w:line="360" w:lineRule="auto"/>
        <w:ind w:firstLine="420" w:firstLineChars="200"/>
        <w:rPr>
          <w:rFonts w:ascii="宋体" w:hAnsi="宋体"/>
          <w:color w:val="auto"/>
          <w:sz w:val="21"/>
        </w:rPr>
      </w:pPr>
      <w:r>
        <w:rPr>
          <w:rFonts w:hint="eastAsia" w:ascii="宋体" w:hAnsi="宋体"/>
          <w:b/>
          <w:color w:val="auto"/>
          <w:sz w:val="21"/>
        </w:rPr>
        <w:t>（</w:t>
      </w:r>
      <w:r>
        <w:rPr>
          <w:rFonts w:hint="eastAsia" w:ascii="宋体" w:hAnsi="宋体" w:eastAsia="宋体"/>
          <w:b/>
          <w:color w:val="auto"/>
          <w:sz w:val="21"/>
          <w:lang w:eastAsia="zh-CN"/>
        </w:rPr>
        <w:t>四</w:t>
      </w:r>
      <w:r>
        <w:rPr>
          <w:rFonts w:hint="eastAsia" w:ascii="宋体" w:hAnsi="宋体"/>
          <w:b/>
          <w:color w:val="auto"/>
          <w:sz w:val="21"/>
        </w:rPr>
        <w:t>）错误修正</w:t>
      </w:r>
    </w:p>
    <w:p w14:paraId="70F61495">
      <w:pPr>
        <w:pStyle w:val="23"/>
        <w:pageBreakBefore w:val="0"/>
        <w:kinsoku/>
        <w:wordWrap/>
        <w:overflowPunct/>
        <w:topLinePunct w:val="0"/>
        <w:bidi w:val="0"/>
        <w:snapToGrid w:val="0"/>
        <w:spacing w:beforeAutospacing="0" w:afterAutospacing="0" w:line="360" w:lineRule="auto"/>
        <w:ind w:firstLine="420" w:firstLineChars="200"/>
        <w:jc w:val="both"/>
        <w:rPr>
          <w:rFonts w:hint="default"/>
          <w:color w:val="auto"/>
          <w:sz w:val="21"/>
        </w:rPr>
      </w:pPr>
      <w:r>
        <w:rPr>
          <w:color w:val="auto"/>
          <w:sz w:val="21"/>
        </w:rPr>
        <w:t>磋商响应文件报价出现前后不一致的，除磋商采购文件另有规定外，按照下列规定修正：</w:t>
      </w:r>
    </w:p>
    <w:p w14:paraId="473984BB">
      <w:pPr>
        <w:pStyle w:val="23"/>
        <w:pageBreakBefore w:val="0"/>
        <w:kinsoku/>
        <w:wordWrap/>
        <w:overflowPunct/>
        <w:topLinePunct w:val="0"/>
        <w:bidi w:val="0"/>
        <w:snapToGrid w:val="0"/>
        <w:spacing w:beforeAutospacing="0" w:afterAutospacing="0" w:line="360" w:lineRule="auto"/>
        <w:jc w:val="both"/>
        <w:rPr>
          <w:rFonts w:hint="default"/>
          <w:color w:val="auto"/>
          <w:sz w:val="21"/>
        </w:rPr>
      </w:pPr>
      <w:r>
        <w:rPr>
          <w:color w:val="auto"/>
          <w:sz w:val="21"/>
        </w:rPr>
        <w:t>　　1、磋商响应文件中首次报价一览表内容与磋商响应文件中相应内容不一致的，以首次报价一览表为准；</w:t>
      </w:r>
    </w:p>
    <w:p w14:paraId="3329F643">
      <w:pPr>
        <w:pStyle w:val="23"/>
        <w:pageBreakBefore w:val="0"/>
        <w:kinsoku/>
        <w:wordWrap/>
        <w:overflowPunct/>
        <w:topLinePunct w:val="0"/>
        <w:bidi w:val="0"/>
        <w:snapToGrid w:val="0"/>
        <w:spacing w:beforeAutospacing="0" w:afterAutospacing="0" w:line="360" w:lineRule="auto"/>
        <w:jc w:val="both"/>
        <w:rPr>
          <w:rFonts w:hint="default"/>
          <w:color w:val="auto"/>
          <w:sz w:val="21"/>
        </w:rPr>
      </w:pPr>
      <w:r>
        <w:rPr>
          <w:color w:val="auto"/>
          <w:sz w:val="21"/>
        </w:rPr>
        <w:t>　　2、大写金额和小写金额不一致的，以大写金额为准；</w:t>
      </w:r>
    </w:p>
    <w:p w14:paraId="61E00120">
      <w:pPr>
        <w:pStyle w:val="23"/>
        <w:pageBreakBefore w:val="0"/>
        <w:kinsoku/>
        <w:wordWrap/>
        <w:overflowPunct/>
        <w:topLinePunct w:val="0"/>
        <w:bidi w:val="0"/>
        <w:snapToGrid w:val="0"/>
        <w:spacing w:beforeAutospacing="0" w:afterAutospacing="0" w:line="360" w:lineRule="auto"/>
        <w:jc w:val="both"/>
        <w:rPr>
          <w:rFonts w:hint="default"/>
          <w:color w:val="auto"/>
          <w:sz w:val="21"/>
        </w:rPr>
      </w:pPr>
      <w:r>
        <w:rPr>
          <w:color w:val="auto"/>
          <w:sz w:val="21"/>
        </w:rPr>
        <w:t>　　3、单价金额小数点或者百分比有明显错位的，以首次报价一览表的总价为准，并修改单价；</w:t>
      </w:r>
    </w:p>
    <w:p w14:paraId="56981043">
      <w:pPr>
        <w:pStyle w:val="23"/>
        <w:pageBreakBefore w:val="0"/>
        <w:kinsoku/>
        <w:wordWrap/>
        <w:overflowPunct/>
        <w:topLinePunct w:val="0"/>
        <w:bidi w:val="0"/>
        <w:snapToGrid w:val="0"/>
        <w:spacing w:beforeAutospacing="0" w:afterAutospacing="0" w:line="360" w:lineRule="auto"/>
        <w:jc w:val="both"/>
        <w:rPr>
          <w:rFonts w:hint="default"/>
          <w:color w:val="auto"/>
          <w:sz w:val="21"/>
        </w:rPr>
      </w:pPr>
      <w:r>
        <w:rPr>
          <w:color w:val="auto"/>
          <w:sz w:val="21"/>
        </w:rPr>
        <w:t>　　4、总价金额与按单价汇总金额不一致的，以单价金额计算结果为准。</w:t>
      </w:r>
    </w:p>
    <w:p w14:paraId="4DCE7A56">
      <w:pPr>
        <w:pStyle w:val="23"/>
        <w:pageBreakBefore w:val="0"/>
        <w:kinsoku/>
        <w:wordWrap/>
        <w:overflowPunct/>
        <w:topLinePunct w:val="0"/>
        <w:bidi w:val="0"/>
        <w:snapToGrid w:val="0"/>
        <w:spacing w:beforeAutospacing="0" w:afterAutospacing="0" w:line="360" w:lineRule="auto"/>
        <w:ind w:firstLine="480"/>
        <w:jc w:val="both"/>
        <w:rPr>
          <w:rFonts w:hint="default"/>
          <w:color w:val="auto"/>
          <w:sz w:val="21"/>
        </w:rPr>
      </w:pPr>
      <w:r>
        <w:rPr>
          <w:color w:val="auto"/>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12EF5CE7">
      <w:pPr>
        <w:pStyle w:val="23"/>
        <w:pageBreakBefore w:val="0"/>
        <w:kinsoku/>
        <w:wordWrap/>
        <w:overflowPunct/>
        <w:topLinePunct w:val="0"/>
        <w:bidi w:val="0"/>
        <w:snapToGrid w:val="0"/>
        <w:spacing w:beforeAutospacing="0" w:afterAutospacing="0" w:line="360" w:lineRule="auto"/>
        <w:ind w:firstLine="480"/>
        <w:rPr>
          <w:rFonts w:hint="default"/>
          <w:b/>
          <w:color w:val="auto"/>
          <w:sz w:val="21"/>
        </w:rPr>
      </w:pPr>
      <w:r>
        <w:rPr>
          <w:b/>
          <w:color w:val="auto"/>
          <w:sz w:val="21"/>
        </w:rPr>
        <w:t>（</w:t>
      </w:r>
      <w:r>
        <w:rPr>
          <w:rFonts w:hint="eastAsia" w:eastAsia="宋体"/>
          <w:b/>
          <w:color w:val="auto"/>
          <w:sz w:val="21"/>
          <w:lang w:eastAsia="zh-CN"/>
        </w:rPr>
        <w:t>五</w:t>
      </w:r>
      <w:r>
        <w:rPr>
          <w:b/>
          <w:color w:val="auto"/>
          <w:sz w:val="21"/>
        </w:rPr>
        <w:t>）磋商</w:t>
      </w:r>
      <w:r>
        <w:rPr>
          <w:rFonts w:hint="default"/>
          <w:b/>
          <w:color w:val="auto"/>
          <w:sz w:val="21"/>
        </w:rPr>
        <w:t>过程中出现以下情形，导致电子交易平台无法正常运行，或者无法保证电子交易的公平、公正和安全时，采购组织机构可中止电子交易活动：</w:t>
      </w:r>
    </w:p>
    <w:p w14:paraId="2E97C699">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1、</w:t>
      </w:r>
      <w:r>
        <w:rPr>
          <w:rFonts w:ascii="宋体" w:hAnsi="宋体"/>
          <w:color w:val="auto"/>
          <w:kern w:val="0"/>
          <w:sz w:val="21"/>
        </w:rPr>
        <w:t>电子交易平台发生故障而无法登录访问的； </w:t>
      </w:r>
    </w:p>
    <w:p w14:paraId="7495E5AC">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2、</w:t>
      </w:r>
      <w:r>
        <w:rPr>
          <w:rFonts w:ascii="宋体" w:hAnsi="宋体"/>
          <w:color w:val="auto"/>
          <w:kern w:val="0"/>
          <w:sz w:val="21"/>
        </w:rPr>
        <w:t>电子交易平台应用或数据库出现错误，不能进行正常操作的；</w:t>
      </w:r>
    </w:p>
    <w:p w14:paraId="4F52A812">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3、</w:t>
      </w:r>
      <w:r>
        <w:rPr>
          <w:rFonts w:ascii="宋体" w:hAnsi="宋体"/>
          <w:color w:val="auto"/>
          <w:kern w:val="0"/>
          <w:sz w:val="21"/>
        </w:rPr>
        <w:t>电子交易平台发现严重安全漏洞，有潜在泄密危险的；</w:t>
      </w:r>
    </w:p>
    <w:p w14:paraId="0C909E21">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4、</w:t>
      </w:r>
      <w:r>
        <w:rPr>
          <w:rFonts w:ascii="宋体" w:hAnsi="宋体"/>
          <w:color w:val="auto"/>
          <w:kern w:val="0"/>
          <w:sz w:val="21"/>
        </w:rPr>
        <w:t>病毒发作导致不能进行正常操作的； </w:t>
      </w:r>
    </w:p>
    <w:p w14:paraId="3485A857">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5、</w:t>
      </w:r>
      <w:r>
        <w:rPr>
          <w:rFonts w:ascii="宋体" w:hAnsi="宋体"/>
          <w:color w:val="auto"/>
          <w:kern w:val="0"/>
          <w:sz w:val="21"/>
        </w:rPr>
        <w:t>其他无法保证电子交易的公平、公正和安全的情况。</w:t>
      </w:r>
    </w:p>
    <w:p w14:paraId="3D812233">
      <w:pPr>
        <w:pageBreakBefore w:val="0"/>
        <w:kinsoku/>
        <w:wordWrap/>
        <w:overflowPunct/>
        <w:topLinePunct w:val="0"/>
        <w:bidi w:val="0"/>
        <w:adjustRightInd w:val="0"/>
        <w:snapToGrid w:val="0"/>
        <w:spacing w:line="360" w:lineRule="auto"/>
        <w:ind w:firstLine="420" w:firstLineChars="200"/>
        <w:jc w:val="left"/>
        <w:rPr>
          <w:color w:val="auto"/>
          <w:sz w:val="21"/>
        </w:rPr>
      </w:pPr>
      <w:r>
        <w:rPr>
          <w:rFonts w:ascii="宋体" w:hAnsi="宋体"/>
          <w:color w:val="auto"/>
          <w:kern w:val="0"/>
          <w:sz w:val="21"/>
        </w:rPr>
        <w:t>出现前款规定情形，不影响采购公平、公正性的，采购组织机构可以待上述情形消除后继续组织电子交易活动；影响或可能影响采购公平、公正性的，应当重新采购。</w:t>
      </w:r>
    </w:p>
    <w:p w14:paraId="133FD0D1">
      <w:pPr>
        <w:pStyle w:val="23"/>
        <w:pageBreakBefore w:val="0"/>
        <w:kinsoku/>
        <w:wordWrap/>
        <w:overflowPunct/>
        <w:topLinePunct w:val="0"/>
        <w:bidi w:val="0"/>
        <w:snapToGrid w:val="0"/>
        <w:spacing w:beforeAutospacing="0" w:afterAutospacing="0" w:line="360" w:lineRule="auto"/>
        <w:ind w:firstLine="480"/>
        <w:rPr>
          <w:rFonts w:hint="default"/>
          <w:color w:val="auto"/>
          <w:sz w:val="21"/>
        </w:rPr>
      </w:pPr>
      <w:r>
        <w:rPr>
          <w:b/>
          <w:color w:val="auto"/>
          <w:sz w:val="21"/>
        </w:rPr>
        <w:t>（</w:t>
      </w:r>
      <w:r>
        <w:rPr>
          <w:rFonts w:hint="eastAsia" w:eastAsia="宋体"/>
          <w:b/>
          <w:color w:val="auto"/>
          <w:sz w:val="21"/>
          <w:lang w:eastAsia="zh-CN"/>
        </w:rPr>
        <w:t>六</w:t>
      </w:r>
      <w:r>
        <w:rPr>
          <w:b/>
          <w:color w:val="auto"/>
          <w:sz w:val="21"/>
        </w:rPr>
        <w:t>）磋商供应商存在下列情况之一的，响应无效，终止磋商</w:t>
      </w:r>
    </w:p>
    <w:p w14:paraId="79F4F505">
      <w:pPr>
        <w:pageBreakBefore w:val="0"/>
        <w:kinsoku/>
        <w:wordWrap/>
        <w:overflowPunct/>
        <w:topLinePunct w:val="0"/>
        <w:bidi w:val="0"/>
        <w:adjustRightInd w:val="0"/>
        <w:snapToGrid w:val="0"/>
        <w:spacing w:line="360" w:lineRule="auto"/>
        <w:ind w:firstLine="420" w:firstLineChars="200"/>
        <w:jc w:val="left"/>
        <w:rPr>
          <w:rFonts w:ascii="宋体" w:hAnsi="宋体"/>
          <w:b/>
          <w:color w:val="auto"/>
          <w:sz w:val="21"/>
        </w:rPr>
      </w:pPr>
      <w:r>
        <w:rPr>
          <w:rFonts w:hint="eastAsia" w:ascii="宋体" w:hAnsi="宋体"/>
          <w:color w:val="auto"/>
          <w:kern w:val="0"/>
          <w:sz w:val="21"/>
        </w:rPr>
        <w:t>1、磋商响应文件中的报价货物跟商务与技术内容中的供应货物出现重大偏差的。</w:t>
      </w:r>
    </w:p>
    <w:p w14:paraId="46A41A7C">
      <w:pPr>
        <w:pStyle w:val="23"/>
        <w:pageBreakBefore w:val="0"/>
        <w:tabs>
          <w:tab w:val="left" w:pos="7380"/>
        </w:tabs>
        <w:kinsoku/>
        <w:wordWrap/>
        <w:overflowPunct/>
        <w:topLinePunct w:val="0"/>
        <w:bidi w:val="0"/>
        <w:adjustRightInd w:val="0"/>
        <w:snapToGrid w:val="0"/>
        <w:spacing w:beforeAutospacing="0" w:afterAutospacing="0" w:line="360" w:lineRule="auto"/>
        <w:ind w:firstLine="420" w:firstLineChars="200"/>
        <w:rPr>
          <w:rFonts w:hint="default"/>
          <w:color w:val="auto"/>
          <w:sz w:val="21"/>
        </w:rPr>
      </w:pPr>
      <w:r>
        <w:rPr>
          <w:color w:val="auto"/>
          <w:sz w:val="21"/>
        </w:rPr>
        <w:t>2、不具备磋商采购文件中规定的资格要求的。</w:t>
      </w:r>
    </w:p>
    <w:p w14:paraId="1A0D98F7">
      <w:pPr>
        <w:pStyle w:val="23"/>
        <w:pageBreakBefore w:val="0"/>
        <w:kinsoku/>
        <w:wordWrap/>
        <w:overflowPunct/>
        <w:topLinePunct w:val="0"/>
        <w:bidi w:val="0"/>
        <w:adjustRightInd w:val="0"/>
        <w:snapToGrid w:val="0"/>
        <w:spacing w:beforeAutospacing="0" w:afterAutospacing="0" w:line="360" w:lineRule="auto"/>
        <w:ind w:firstLine="420" w:firstLineChars="200"/>
        <w:rPr>
          <w:rFonts w:hint="default"/>
          <w:color w:val="auto"/>
          <w:sz w:val="21"/>
        </w:rPr>
      </w:pPr>
      <w:r>
        <w:rPr>
          <w:color w:val="auto"/>
          <w:sz w:val="21"/>
        </w:rPr>
        <w:t>3、</w:t>
      </w:r>
      <w:r>
        <w:rPr>
          <w:color w:val="auto"/>
          <w:sz w:val="21"/>
          <w:szCs w:val="21"/>
        </w:rPr>
        <w:t>未实质性响应磋商文件中打“</w:t>
      </w:r>
      <w:r>
        <w:rPr>
          <w:color w:val="auto"/>
          <w:sz w:val="21"/>
          <w:szCs w:val="21"/>
          <w:lang w:val="zh-CN"/>
        </w:rPr>
        <w:t>▲</w:t>
      </w:r>
      <w:r>
        <w:rPr>
          <w:color w:val="auto"/>
          <w:sz w:val="21"/>
          <w:szCs w:val="21"/>
        </w:rPr>
        <w:t>”条款或者磋商响应文件含有采购人不能接受的附加条件的</w:t>
      </w:r>
      <w:r>
        <w:rPr>
          <w:color w:val="auto"/>
          <w:sz w:val="21"/>
        </w:rPr>
        <w:t>。</w:t>
      </w:r>
    </w:p>
    <w:p w14:paraId="57074C26">
      <w:pPr>
        <w:pageBreakBefore w:val="0"/>
        <w:kinsoku/>
        <w:wordWrap/>
        <w:overflowPunct/>
        <w:topLinePunct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4</w:t>
      </w:r>
      <w:r>
        <w:rPr>
          <w:rFonts w:hint="eastAsia" w:ascii="宋体" w:hAnsi="宋体"/>
          <w:color w:val="auto"/>
          <w:sz w:val="21"/>
        </w:rPr>
        <w:t>、磋商响应文件实质性内容填写不全或模糊不清，无法辨认的。</w:t>
      </w:r>
    </w:p>
    <w:p w14:paraId="614FE93D">
      <w:pPr>
        <w:pStyle w:val="23"/>
        <w:pageBreakBefore w:val="0"/>
        <w:kinsoku/>
        <w:wordWrap/>
        <w:overflowPunct/>
        <w:topLinePunct w:val="0"/>
        <w:bidi w:val="0"/>
        <w:adjustRightInd w:val="0"/>
        <w:snapToGrid w:val="0"/>
        <w:spacing w:beforeAutospacing="0" w:afterAutospacing="0" w:line="360" w:lineRule="auto"/>
        <w:ind w:firstLine="420" w:firstLineChars="200"/>
        <w:rPr>
          <w:rFonts w:hint="default"/>
          <w:color w:val="auto"/>
          <w:sz w:val="21"/>
        </w:rPr>
      </w:pPr>
      <w:r>
        <w:rPr>
          <w:color w:val="auto"/>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7BE0F00">
      <w:pPr>
        <w:pStyle w:val="23"/>
        <w:pageBreakBefore w:val="0"/>
        <w:kinsoku/>
        <w:wordWrap/>
        <w:overflowPunct/>
        <w:topLinePunct w:val="0"/>
        <w:bidi w:val="0"/>
        <w:adjustRightInd w:val="0"/>
        <w:snapToGrid w:val="0"/>
        <w:spacing w:beforeAutospacing="0" w:afterAutospacing="0" w:line="360" w:lineRule="auto"/>
        <w:ind w:firstLine="420" w:firstLineChars="200"/>
        <w:rPr>
          <w:rFonts w:hint="default"/>
          <w:color w:val="auto"/>
          <w:sz w:val="21"/>
        </w:rPr>
      </w:pPr>
      <w:r>
        <w:rPr>
          <w:color w:val="auto"/>
          <w:sz w:val="21"/>
        </w:rPr>
        <w:t>6、</w:t>
      </w:r>
      <w:r>
        <w:rPr>
          <w:color w:val="auto"/>
          <w:sz w:val="21"/>
          <w:szCs w:val="21"/>
        </w:rPr>
        <w:t>报价超过磋商文件中规定的最高限价的</w:t>
      </w:r>
      <w:r>
        <w:rPr>
          <w:color w:val="auto"/>
          <w:sz w:val="21"/>
        </w:rPr>
        <w:t>。</w:t>
      </w:r>
    </w:p>
    <w:p w14:paraId="1796554A">
      <w:pPr>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7、磋商参数未如实填写，完全复制粘贴磋商采购参数的。</w:t>
      </w:r>
    </w:p>
    <w:p w14:paraId="3A679E92">
      <w:pPr>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8、</w:t>
      </w:r>
      <w:r>
        <w:rPr>
          <w:rFonts w:hint="eastAsia" w:ascii="宋体" w:hAnsi="宋体"/>
          <w:color w:val="auto"/>
          <w:sz w:val="21"/>
          <w:szCs w:val="21"/>
        </w:rPr>
        <w:t>磋商响应文件中技术方案不明确，存在一个或一个以上备选（替代）方案的</w:t>
      </w:r>
      <w:r>
        <w:rPr>
          <w:rFonts w:hint="eastAsia" w:ascii="宋体" w:hAnsi="宋体"/>
          <w:color w:val="auto"/>
          <w:kern w:val="0"/>
          <w:sz w:val="21"/>
        </w:rPr>
        <w:t>。</w:t>
      </w:r>
    </w:p>
    <w:p w14:paraId="639C3ED9">
      <w:pPr>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9、磋商响应文件提供虚假材料的。</w:t>
      </w:r>
    </w:p>
    <w:p w14:paraId="6D4AA7EA">
      <w:pPr>
        <w:pageBreakBefore w:val="0"/>
        <w:kinsoku/>
        <w:wordWrap/>
        <w:overflowPunct/>
        <w:topLinePunct w:val="0"/>
        <w:autoSpaceDE w:val="0"/>
        <w:autoSpaceDN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color w:val="auto"/>
          <w:kern w:val="0"/>
          <w:sz w:val="21"/>
        </w:rPr>
        <w:t>10、法律、法规和磋商文件中规定的其他实质性要求的（</w:t>
      </w:r>
      <w:r>
        <w:rPr>
          <w:rFonts w:hint="eastAsia" w:ascii="宋体" w:hAnsi="宋体" w:eastAsia="宋体"/>
          <w:color w:val="auto"/>
          <w:kern w:val="0"/>
          <w:sz w:val="21"/>
        </w:rPr>
        <w:t>包括</w:t>
      </w:r>
      <w:r>
        <w:rPr>
          <w:rFonts w:hint="eastAsia" w:ascii="宋体" w:hAnsi="宋体"/>
          <w:color w:val="auto"/>
          <w:kern w:val="0"/>
          <w:sz w:val="21"/>
        </w:rPr>
        <w:t>被拒绝的条款）。</w:t>
      </w:r>
    </w:p>
    <w:p w14:paraId="4449C23A">
      <w:pPr>
        <w:pStyle w:val="3"/>
        <w:pageBreakBefore w:val="0"/>
        <w:kinsoku/>
        <w:wordWrap/>
        <w:overflowPunct/>
        <w:topLinePunct w:val="0"/>
        <w:bidi w:val="0"/>
        <w:spacing w:line="360" w:lineRule="auto"/>
        <w:ind w:firstLineChars="200"/>
        <w:rPr>
          <w:rFonts w:eastAsia="宋体"/>
          <w:color w:val="auto"/>
        </w:rPr>
      </w:pPr>
      <w:r>
        <w:rPr>
          <w:rFonts w:hint="eastAsia" w:ascii="宋体" w:hAnsi="宋体" w:eastAsia="宋体"/>
          <w:color w:val="auto"/>
          <w:kern w:val="0"/>
        </w:rPr>
        <w:t>11、项目负责人</w:t>
      </w:r>
      <w:r>
        <w:rPr>
          <w:rFonts w:hint="eastAsia" w:ascii="宋体" w:hAnsi="宋体"/>
          <w:color w:val="auto"/>
          <w:kern w:val="0"/>
          <w:szCs w:val="24"/>
        </w:rPr>
        <w:t>在建项目不符合要求的。</w:t>
      </w:r>
    </w:p>
    <w:p w14:paraId="4D8AF679">
      <w:pPr>
        <w:pageBreakBefore w:val="0"/>
        <w:kinsoku/>
        <w:wordWrap/>
        <w:overflowPunct/>
        <w:topLinePunct w:val="0"/>
        <w:autoSpaceDE w:val="0"/>
        <w:autoSpaceDN w:val="0"/>
        <w:bidi w:val="0"/>
        <w:adjustRightInd w:val="0"/>
        <w:snapToGrid w:val="0"/>
        <w:spacing w:line="360" w:lineRule="auto"/>
        <w:ind w:firstLine="420" w:firstLineChars="200"/>
        <w:jc w:val="left"/>
        <w:rPr>
          <w:rFonts w:ascii="宋体" w:hAnsi="宋体"/>
          <w:color w:val="auto"/>
          <w:kern w:val="0"/>
          <w:sz w:val="21"/>
        </w:rPr>
      </w:pPr>
      <w:r>
        <w:rPr>
          <w:rFonts w:hint="eastAsia" w:ascii="宋体" w:hAnsi="宋体"/>
          <w:b/>
          <w:color w:val="auto"/>
          <w:kern w:val="0"/>
          <w:sz w:val="21"/>
        </w:rPr>
        <w:t>（</w:t>
      </w:r>
      <w:r>
        <w:rPr>
          <w:rFonts w:hint="eastAsia" w:ascii="宋体" w:hAnsi="宋体" w:eastAsia="宋体"/>
          <w:b/>
          <w:color w:val="auto"/>
          <w:kern w:val="0"/>
          <w:sz w:val="21"/>
          <w:lang w:eastAsia="zh-CN"/>
        </w:rPr>
        <w:t>七</w:t>
      </w:r>
      <w:r>
        <w:rPr>
          <w:rFonts w:hint="eastAsia" w:ascii="宋体" w:hAnsi="宋体"/>
          <w:b/>
          <w:color w:val="auto"/>
          <w:kern w:val="0"/>
          <w:sz w:val="21"/>
        </w:rPr>
        <w:t>）有下列情况之一的，本次磋商终止。</w:t>
      </w:r>
    </w:p>
    <w:p w14:paraId="48F01DB6">
      <w:pPr>
        <w:pageBreakBefore w:val="0"/>
        <w:kinsoku/>
        <w:wordWrap/>
        <w:overflowPunct/>
        <w:topLinePunct w:val="0"/>
        <w:autoSpaceDE w:val="0"/>
        <w:autoSpaceDN w:val="0"/>
        <w:bidi w:val="0"/>
        <w:spacing w:line="360" w:lineRule="auto"/>
        <w:ind w:firstLine="420" w:firstLineChars="200"/>
        <w:textAlignment w:val="bottom"/>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出现影响采购公正的违法、违规</w:t>
      </w:r>
      <w:r>
        <w:rPr>
          <w:rFonts w:hint="eastAsia" w:ascii="宋体" w:hAnsi="宋体"/>
          <w:color w:val="auto"/>
          <w:sz w:val="21"/>
          <w:szCs w:val="21"/>
        </w:rPr>
        <w:t>、欺骗行为</w:t>
      </w:r>
      <w:r>
        <w:rPr>
          <w:rFonts w:ascii="宋体" w:hAnsi="宋体"/>
          <w:color w:val="auto"/>
          <w:sz w:val="21"/>
          <w:szCs w:val="21"/>
        </w:rPr>
        <w:t>的；</w:t>
      </w:r>
    </w:p>
    <w:p w14:paraId="4C47B469">
      <w:pPr>
        <w:pageBreakBefore w:val="0"/>
        <w:kinsoku/>
        <w:wordWrap/>
        <w:overflowPunct/>
        <w:topLinePunct w:val="0"/>
        <w:autoSpaceDE w:val="0"/>
        <w:autoSpaceDN w:val="0"/>
        <w:bidi w:val="0"/>
        <w:spacing w:line="360" w:lineRule="auto"/>
        <w:ind w:firstLine="420" w:firstLineChars="200"/>
        <w:textAlignment w:val="bottom"/>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因重大变故，采购任务取消的；</w:t>
      </w:r>
    </w:p>
    <w:p w14:paraId="07FC665A">
      <w:pPr>
        <w:pageBreakBefore w:val="0"/>
        <w:kinsoku/>
        <w:wordWrap/>
        <w:overflowPunct/>
        <w:topLinePunct w:val="0"/>
        <w:autoSpaceDE w:val="0"/>
        <w:autoSpaceDN w:val="0"/>
        <w:bidi w:val="0"/>
        <w:adjustRightInd w:val="0"/>
        <w:spacing w:line="360" w:lineRule="auto"/>
        <w:ind w:firstLine="420" w:firstLineChars="200"/>
        <w:rPr>
          <w:color w:val="auto"/>
          <w:sz w:val="21"/>
        </w:rPr>
      </w:pPr>
      <w:r>
        <w:rPr>
          <w:rFonts w:hint="eastAsia" w:ascii="宋体" w:hAnsi="宋体"/>
          <w:color w:val="auto"/>
          <w:sz w:val="21"/>
          <w:szCs w:val="21"/>
        </w:rPr>
        <w:t>（3）提交磋商响应文件供应商或符合资格条件供应商或实质性响应供应商不足三家的。</w:t>
      </w:r>
    </w:p>
    <w:p w14:paraId="1CDDE46A">
      <w:pPr>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5" w:firstLine="420" w:firstLineChars="200"/>
        <w:jc w:val="left"/>
        <w:rPr>
          <w:rFonts w:ascii="宋体" w:hAnsi="宋体"/>
          <w:b/>
          <w:color w:val="auto"/>
          <w:kern w:val="0"/>
          <w:sz w:val="21"/>
        </w:rPr>
      </w:pPr>
      <w:r>
        <w:rPr>
          <w:rFonts w:hint="eastAsia" w:ascii="宋体" w:hAnsi="宋体"/>
          <w:b/>
          <w:color w:val="auto"/>
          <w:kern w:val="0"/>
          <w:sz w:val="21"/>
        </w:rPr>
        <w:t>（</w:t>
      </w:r>
      <w:r>
        <w:rPr>
          <w:rFonts w:hint="eastAsia" w:ascii="宋体" w:hAnsi="宋体" w:eastAsia="宋体"/>
          <w:b/>
          <w:color w:val="auto"/>
          <w:kern w:val="0"/>
          <w:sz w:val="21"/>
          <w:lang w:eastAsia="zh-CN"/>
        </w:rPr>
        <w:t>八</w:t>
      </w:r>
      <w:r>
        <w:rPr>
          <w:rFonts w:hint="eastAsia" w:ascii="宋体" w:hAnsi="宋体"/>
          <w:b/>
          <w:color w:val="auto"/>
          <w:kern w:val="0"/>
          <w:sz w:val="21"/>
        </w:rPr>
        <w:t>）磋商原则和方法</w:t>
      </w:r>
    </w:p>
    <w:p w14:paraId="767AA98D">
      <w:pPr>
        <w:pStyle w:val="13"/>
        <w:pageBreakBefore w:val="0"/>
        <w:kinsoku/>
        <w:wordWrap/>
        <w:overflowPunct/>
        <w:topLinePunct w:val="0"/>
        <w:bidi w:val="0"/>
        <w:snapToGrid w:val="0"/>
        <w:spacing w:line="360" w:lineRule="auto"/>
        <w:ind w:firstLine="525" w:firstLineChars="250"/>
        <w:rPr>
          <w:rFonts w:hAnsi="宋体"/>
          <w:color w:val="auto"/>
        </w:rPr>
      </w:pPr>
      <w:r>
        <w:rPr>
          <w:rFonts w:hint="eastAsia" w:hAnsi="宋体"/>
          <w:color w:val="auto"/>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7430AF80">
      <w:pPr>
        <w:pStyle w:val="13"/>
        <w:pageBreakBefore w:val="0"/>
        <w:kinsoku/>
        <w:wordWrap/>
        <w:overflowPunct/>
        <w:topLinePunct w:val="0"/>
        <w:bidi w:val="0"/>
        <w:snapToGrid w:val="0"/>
        <w:spacing w:line="360" w:lineRule="auto"/>
        <w:ind w:firstLine="525" w:firstLineChars="250"/>
        <w:rPr>
          <w:rFonts w:hAnsi="宋体"/>
          <w:color w:val="auto"/>
        </w:rPr>
      </w:pPr>
      <w:r>
        <w:rPr>
          <w:rFonts w:hint="eastAsia" w:hAnsi="宋体"/>
          <w:color w:val="auto"/>
        </w:rPr>
        <w:t>2、磋商办法。具体磋商内容及评分标准等详见《评审方法及评分标准》。</w:t>
      </w:r>
    </w:p>
    <w:p w14:paraId="66E03B46">
      <w:pPr>
        <w:pStyle w:val="13"/>
        <w:pageBreakBefore w:val="0"/>
        <w:kinsoku/>
        <w:wordWrap/>
        <w:overflowPunct/>
        <w:topLinePunct w:val="0"/>
        <w:bidi w:val="0"/>
        <w:snapToGrid w:val="0"/>
        <w:spacing w:line="360" w:lineRule="auto"/>
        <w:ind w:firstLine="420" w:firstLineChars="200"/>
        <w:rPr>
          <w:rFonts w:hAnsi="宋体"/>
          <w:color w:val="auto"/>
        </w:rPr>
      </w:pPr>
      <w:r>
        <w:rPr>
          <w:rFonts w:hint="eastAsia" w:hAnsi="宋体"/>
          <w:b/>
          <w:color w:val="auto"/>
        </w:rPr>
        <w:t>（</w:t>
      </w:r>
      <w:r>
        <w:rPr>
          <w:rFonts w:hint="eastAsia" w:hAnsi="宋体" w:eastAsia="宋体"/>
          <w:b/>
          <w:color w:val="auto"/>
          <w:lang w:eastAsia="zh-CN"/>
        </w:rPr>
        <w:t>九）</w:t>
      </w:r>
      <w:r>
        <w:rPr>
          <w:rFonts w:hint="eastAsia" w:hAnsi="宋体"/>
          <w:b/>
          <w:color w:val="auto"/>
        </w:rPr>
        <w:t>评审过程的监控</w:t>
      </w:r>
    </w:p>
    <w:p w14:paraId="2D71FF64">
      <w:pPr>
        <w:pStyle w:val="23"/>
        <w:pageBreakBefore w:val="0"/>
        <w:kinsoku/>
        <w:wordWrap/>
        <w:overflowPunct/>
        <w:topLinePunct w:val="0"/>
        <w:bidi w:val="0"/>
        <w:snapToGrid w:val="0"/>
        <w:spacing w:beforeAutospacing="0" w:afterAutospacing="0" w:line="360" w:lineRule="auto"/>
        <w:ind w:firstLine="420" w:firstLineChars="200"/>
        <w:jc w:val="both"/>
        <w:rPr>
          <w:rFonts w:hint="default"/>
          <w:color w:val="auto"/>
          <w:sz w:val="21"/>
        </w:rPr>
      </w:pPr>
      <w:r>
        <w:rPr>
          <w:color w:val="auto"/>
          <w:sz w:val="21"/>
        </w:rPr>
        <w:t>本项目评审过程实行全程录音、录像监控，政府采购监管部门视情进行现场监督，供应商在评审过程中所进行的试图影响评审结果的不公正活动，可能导致其被拒绝磋商。</w:t>
      </w:r>
    </w:p>
    <w:p w14:paraId="7349F77F">
      <w:pPr>
        <w:pStyle w:val="23"/>
        <w:pageBreakBefore w:val="0"/>
        <w:kinsoku/>
        <w:wordWrap/>
        <w:overflowPunct/>
        <w:topLinePunct w:val="0"/>
        <w:bidi w:val="0"/>
        <w:snapToGrid w:val="0"/>
        <w:spacing w:beforeAutospacing="0" w:afterAutospacing="0" w:line="360" w:lineRule="auto"/>
        <w:ind w:firstLine="420" w:firstLineChars="200"/>
        <w:jc w:val="center"/>
        <w:rPr>
          <w:rFonts w:hint="default"/>
          <w:color w:val="auto"/>
          <w:sz w:val="21"/>
        </w:rPr>
      </w:pPr>
      <w:r>
        <w:rPr>
          <w:b/>
          <w:color w:val="auto"/>
          <w:sz w:val="21"/>
        </w:rPr>
        <w:t>五、磋商结果确定</w:t>
      </w:r>
    </w:p>
    <w:p w14:paraId="4BB932BF">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E7E79E8">
      <w:pPr>
        <w:pageBreakBefore w:val="0"/>
        <w:kinsoku/>
        <w:wordWrap/>
        <w:overflowPunct/>
        <w:topLinePunct w:val="0"/>
        <w:bidi w:val="0"/>
        <w:snapToGrid w:val="0"/>
        <w:spacing w:line="360" w:lineRule="auto"/>
        <w:ind w:firstLine="420" w:firstLineChars="200"/>
        <w:rPr>
          <w:rFonts w:ascii="宋体" w:hAnsi="宋体"/>
          <w:color w:val="auto"/>
          <w:kern w:val="0"/>
          <w:sz w:val="21"/>
        </w:rPr>
      </w:pPr>
      <w:r>
        <w:rPr>
          <w:rFonts w:hint="eastAsia" w:ascii="宋体" w:hAnsi="宋体"/>
          <w:color w:val="auto"/>
          <w:kern w:val="0"/>
          <w:sz w:val="21"/>
        </w:rPr>
        <w:t>2、发布成交结果公告。采购组织机构应当在成交供应商确定后2个工作日内，在省级以上财政部门指定的政府采购信息发布媒体及相关网站上公告成交结果，并将磋商文件随同公告。</w:t>
      </w:r>
    </w:p>
    <w:p w14:paraId="1A5361BF">
      <w:pPr>
        <w:pageBreakBefore w:val="0"/>
        <w:kinsoku/>
        <w:wordWrap/>
        <w:overflowPunct/>
        <w:topLinePunct w:val="0"/>
        <w:bidi w:val="0"/>
        <w:snapToGrid w:val="0"/>
        <w:spacing w:line="360" w:lineRule="auto"/>
        <w:ind w:firstLine="420" w:firstLineChars="200"/>
        <w:rPr>
          <w:rFonts w:ascii="宋体" w:hAnsi="宋体"/>
          <w:color w:val="auto"/>
          <w:kern w:val="0"/>
          <w:sz w:val="21"/>
        </w:rPr>
      </w:pPr>
      <w:r>
        <w:rPr>
          <w:rFonts w:hint="eastAsia" w:ascii="宋体" w:hAnsi="宋体"/>
          <w:color w:val="auto"/>
          <w:kern w:val="0"/>
          <w:sz w:val="21"/>
        </w:rPr>
        <w:t>3、发出成交通知书。采购组织机构在发布成交结果同时，向成交供应商发出成交通知书。</w:t>
      </w:r>
    </w:p>
    <w:p w14:paraId="1652F9B8">
      <w:pPr>
        <w:pageBreakBefore w:val="0"/>
        <w:kinsoku/>
        <w:wordWrap/>
        <w:overflowPunct/>
        <w:topLinePunct w:val="0"/>
        <w:bidi w:val="0"/>
        <w:snapToGrid w:val="0"/>
        <w:spacing w:line="360" w:lineRule="auto"/>
        <w:ind w:firstLine="420" w:firstLineChars="200"/>
        <w:jc w:val="center"/>
        <w:rPr>
          <w:rFonts w:ascii="宋体" w:hAnsi="宋体"/>
          <w:b/>
          <w:color w:val="auto"/>
          <w:kern w:val="0"/>
          <w:sz w:val="21"/>
        </w:rPr>
      </w:pPr>
      <w:r>
        <w:rPr>
          <w:rFonts w:hint="eastAsia" w:ascii="宋体" w:hAnsi="宋体"/>
          <w:b/>
          <w:color w:val="auto"/>
          <w:kern w:val="0"/>
          <w:sz w:val="21"/>
        </w:rPr>
        <w:t>六、合同签订及公告</w:t>
      </w:r>
    </w:p>
    <w:p w14:paraId="3D0A8EFA">
      <w:pPr>
        <w:pStyle w:val="9"/>
        <w:pageBreakBefore w:val="0"/>
        <w:kinsoku/>
        <w:wordWrap/>
        <w:overflowPunct/>
        <w:topLinePunct w:val="0"/>
        <w:bidi w:val="0"/>
        <w:snapToGrid w:val="0"/>
        <w:spacing w:line="360" w:lineRule="auto"/>
        <w:ind w:firstLine="422" w:firstLineChars="200"/>
        <w:rPr>
          <w:rFonts w:ascii="宋体" w:hAnsi="宋体" w:eastAsia="宋体" w:cs="宋体"/>
          <w:b/>
          <w:color w:val="auto"/>
          <w:sz w:val="21"/>
        </w:rPr>
      </w:pPr>
      <w:r>
        <w:rPr>
          <w:rFonts w:hint="eastAsia" w:ascii="宋体" w:hAnsi="宋体" w:eastAsia="宋体" w:cs="宋体"/>
          <w:b/>
          <w:color w:val="auto"/>
          <w:sz w:val="21"/>
        </w:rPr>
        <w:t>（一）签订合同</w:t>
      </w:r>
    </w:p>
    <w:p w14:paraId="5ED0FC7A">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1、采购人应当自成交通知书发出之日起30日内，按照磋商采购文件确定的合同文本以及采购标的、规格型号、采购金额、采购数量和服务要求等事项签订政府采购合同。</w:t>
      </w:r>
    </w:p>
    <w:p w14:paraId="6851334E">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280B5A78">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3、成交供应商无故拖延、拒签合同的,取消成交资格。</w:t>
      </w:r>
    </w:p>
    <w:p w14:paraId="69A202F5">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EE0D57B">
      <w:pPr>
        <w:pStyle w:val="23"/>
        <w:pageBreakBefore w:val="0"/>
        <w:kinsoku/>
        <w:wordWrap/>
        <w:overflowPunct/>
        <w:topLinePunct w:val="0"/>
        <w:bidi w:val="0"/>
        <w:snapToGrid w:val="0"/>
        <w:spacing w:beforeAutospacing="0" w:afterAutospacing="0" w:line="360" w:lineRule="auto"/>
        <w:ind w:firstLine="525" w:firstLineChars="250"/>
        <w:jc w:val="both"/>
        <w:rPr>
          <w:rFonts w:hint="default"/>
          <w:color w:val="auto"/>
          <w:sz w:val="21"/>
        </w:rPr>
      </w:pPr>
      <w:r>
        <w:rPr>
          <w:color w:val="auto"/>
          <w:sz w:val="21"/>
        </w:rPr>
        <w:t>5、询问或者质疑事项可能影响成交结果的，采购人应当暂停签订合同，已经签订合同的，应当中止履行合同（成交结果的质疑期为成交结果公告期限届满之日起七个工作日）。</w:t>
      </w:r>
    </w:p>
    <w:p w14:paraId="579A4F77">
      <w:pPr>
        <w:pStyle w:val="23"/>
        <w:pageBreakBefore w:val="0"/>
        <w:kinsoku/>
        <w:wordWrap/>
        <w:overflowPunct/>
        <w:topLinePunct w:val="0"/>
        <w:bidi w:val="0"/>
        <w:snapToGrid w:val="0"/>
        <w:spacing w:beforeAutospacing="0" w:afterAutospacing="0" w:line="360" w:lineRule="auto"/>
        <w:ind w:firstLine="525" w:firstLineChars="250"/>
        <w:jc w:val="both"/>
        <w:rPr>
          <w:rFonts w:hint="default"/>
          <w:b/>
          <w:color w:val="auto"/>
          <w:sz w:val="21"/>
        </w:rPr>
      </w:pPr>
      <w:r>
        <w:rPr>
          <w:b/>
          <w:color w:val="auto"/>
          <w:sz w:val="21"/>
        </w:rPr>
        <w:t>（二）合同公告及备案</w:t>
      </w:r>
    </w:p>
    <w:p w14:paraId="12A5CE6B">
      <w:pPr>
        <w:pStyle w:val="23"/>
        <w:pageBreakBefore w:val="0"/>
        <w:kinsoku/>
        <w:wordWrap/>
        <w:overflowPunct/>
        <w:topLinePunct w:val="0"/>
        <w:bidi w:val="0"/>
        <w:snapToGrid w:val="0"/>
        <w:spacing w:beforeAutospacing="0" w:afterAutospacing="0" w:line="360" w:lineRule="auto"/>
        <w:ind w:firstLine="525" w:firstLineChars="250"/>
        <w:jc w:val="both"/>
        <w:rPr>
          <w:rFonts w:hint="default" w:eastAsia="宋体" w:cs="宋体"/>
          <w:b/>
          <w:color w:val="auto"/>
          <w:sz w:val="30"/>
          <w:szCs w:val="30"/>
        </w:rPr>
      </w:pPr>
      <w:r>
        <w:rPr>
          <w:color w:val="auto"/>
          <w:sz w:val="21"/>
        </w:rPr>
        <w:t>采购人应当自政府采购合同签订之日起2个工作日内，在省级以上财政部门指定的政府采购信息发布媒体及相关网站上公告。</w:t>
      </w:r>
      <w:bookmarkEnd w:id="27"/>
      <w:bookmarkStart w:id="47" w:name="_Toc306901457"/>
      <w:bookmarkStart w:id="48" w:name="_Toc173810699"/>
    </w:p>
    <w:p w14:paraId="2D50170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rPr>
      </w:pPr>
    </w:p>
    <w:p w14:paraId="66D8D813">
      <w:pPr>
        <w:pStyle w:val="33"/>
        <w:rPr>
          <w:rFonts w:hint="eastAsia" w:ascii="宋体" w:hAnsi="宋体" w:eastAsia="宋体" w:cs="宋体"/>
          <w:b/>
          <w:color w:val="auto"/>
          <w:sz w:val="30"/>
          <w:szCs w:val="30"/>
        </w:rPr>
      </w:pPr>
    </w:p>
    <w:p w14:paraId="24F2C277">
      <w:pPr>
        <w:pStyle w:val="33"/>
        <w:rPr>
          <w:rFonts w:hint="eastAsia" w:ascii="宋体" w:hAnsi="宋体" w:eastAsia="宋体" w:cs="宋体"/>
          <w:b/>
          <w:color w:val="auto"/>
          <w:sz w:val="30"/>
          <w:szCs w:val="30"/>
        </w:rPr>
      </w:pPr>
    </w:p>
    <w:p w14:paraId="0AAA1087">
      <w:pPr>
        <w:pStyle w:val="33"/>
        <w:rPr>
          <w:rFonts w:hint="eastAsia" w:ascii="宋体" w:hAnsi="宋体" w:eastAsia="宋体" w:cs="宋体"/>
          <w:b/>
          <w:color w:val="auto"/>
          <w:sz w:val="30"/>
          <w:szCs w:val="30"/>
        </w:rPr>
      </w:pPr>
    </w:p>
    <w:p w14:paraId="7DA584BE">
      <w:pPr>
        <w:pStyle w:val="33"/>
        <w:rPr>
          <w:rFonts w:hint="eastAsia" w:ascii="宋体" w:hAnsi="宋体" w:eastAsia="宋体" w:cs="宋体"/>
          <w:b/>
          <w:color w:val="auto"/>
          <w:sz w:val="30"/>
          <w:szCs w:val="30"/>
        </w:rPr>
      </w:pPr>
    </w:p>
    <w:p w14:paraId="19D347AC">
      <w:pPr>
        <w:pStyle w:val="33"/>
        <w:rPr>
          <w:rFonts w:hint="eastAsia" w:ascii="宋体" w:hAnsi="宋体" w:eastAsia="宋体" w:cs="宋体"/>
          <w:b/>
          <w:color w:val="auto"/>
          <w:sz w:val="30"/>
          <w:szCs w:val="30"/>
        </w:rPr>
      </w:pPr>
    </w:p>
    <w:p w14:paraId="68D88317">
      <w:pPr>
        <w:pStyle w:val="33"/>
        <w:rPr>
          <w:rFonts w:hint="eastAsia" w:ascii="宋体" w:hAnsi="宋体" w:eastAsia="宋体" w:cs="宋体"/>
          <w:b/>
          <w:color w:val="auto"/>
          <w:sz w:val="30"/>
          <w:szCs w:val="30"/>
        </w:rPr>
      </w:pPr>
    </w:p>
    <w:p w14:paraId="78E44FCC">
      <w:pPr>
        <w:pStyle w:val="33"/>
        <w:rPr>
          <w:rFonts w:hint="eastAsia" w:ascii="宋体" w:hAnsi="宋体" w:eastAsia="宋体" w:cs="宋体"/>
          <w:b/>
          <w:color w:val="auto"/>
          <w:sz w:val="30"/>
          <w:szCs w:val="30"/>
        </w:rPr>
      </w:pPr>
    </w:p>
    <w:p w14:paraId="5B76A734">
      <w:pPr>
        <w:pStyle w:val="33"/>
        <w:rPr>
          <w:rFonts w:hint="eastAsia" w:ascii="宋体" w:hAnsi="宋体" w:eastAsia="宋体" w:cs="宋体"/>
          <w:b/>
          <w:color w:val="auto"/>
          <w:sz w:val="30"/>
          <w:szCs w:val="30"/>
        </w:rPr>
      </w:pPr>
    </w:p>
    <w:p w14:paraId="7BC892EE">
      <w:pPr>
        <w:pStyle w:val="33"/>
        <w:rPr>
          <w:rFonts w:hint="eastAsia" w:ascii="宋体" w:hAnsi="宋体" w:eastAsia="宋体" w:cs="宋体"/>
          <w:b/>
          <w:color w:val="auto"/>
          <w:sz w:val="30"/>
          <w:szCs w:val="30"/>
        </w:rPr>
      </w:pPr>
    </w:p>
    <w:p w14:paraId="38538E0A">
      <w:pPr>
        <w:pStyle w:val="33"/>
        <w:rPr>
          <w:rFonts w:hint="eastAsia" w:ascii="宋体" w:hAnsi="宋体" w:eastAsia="宋体" w:cs="宋体"/>
          <w:b/>
          <w:color w:val="auto"/>
          <w:sz w:val="30"/>
          <w:szCs w:val="30"/>
        </w:rPr>
      </w:pPr>
    </w:p>
    <w:p w14:paraId="4B47E685">
      <w:pPr>
        <w:pStyle w:val="33"/>
        <w:rPr>
          <w:rFonts w:hint="eastAsia" w:ascii="宋体" w:hAnsi="宋体" w:eastAsia="宋体" w:cs="宋体"/>
          <w:b/>
          <w:color w:val="auto"/>
          <w:sz w:val="30"/>
          <w:szCs w:val="30"/>
        </w:rPr>
      </w:pPr>
    </w:p>
    <w:p w14:paraId="28A5974F">
      <w:pPr>
        <w:pStyle w:val="33"/>
        <w:rPr>
          <w:rFonts w:hint="eastAsia" w:ascii="宋体" w:hAnsi="宋体" w:eastAsia="宋体" w:cs="宋体"/>
          <w:b/>
          <w:color w:val="auto"/>
          <w:sz w:val="30"/>
          <w:szCs w:val="30"/>
        </w:rPr>
      </w:pPr>
    </w:p>
    <w:p w14:paraId="44343EF5">
      <w:pPr>
        <w:pStyle w:val="33"/>
        <w:rPr>
          <w:rFonts w:hint="eastAsia" w:ascii="宋体" w:hAnsi="宋体" w:eastAsia="宋体" w:cs="宋体"/>
          <w:b/>
          <w:color w:val="auto"/>
          <w:sz w:val="30"/>
          <w:szCs w:val="30"/>
        </w:rPr>
      </w:pPr>
    </w:p>
    <w:p w14:paraId="5FAD88F2">
      <w:pPr>
        <w:pStyle w:val="33"/>
        <w:rPr>
          <w:rFonts w:hint="eastAsia" w:ascii="宋体" w:hAnsi="宋体" w:eastAsia="宋体" w:cs="宋体"/>
          <w:b/>
          <w:color w:val="auto"/>
          <w:sz w:val="30"/>
          <w:szCs w:val="30"/>
        </w:rPr>
      </w:pPr>
    </w:p>
    <w:p w14:paraId="1282184F">
      <w:pPr>
        <w:pStyle w:val="33"/>
        <w:rPr>
          <w:rFonts w:hint="eastAsia" w:ascii="宋体" w:hAnsi="宋体" w:eastAsia="宋体" w:cs="宋体"/>
          <w:b/>
          <w:color w:val="auto"/>
          <w:sz w:val="30"/>
          <w:szCs w:val="30"/>
        </w:rPr>
      </w:pPr>
    </w:p>
    <w:p w14:paraId="7DC150A9">
      <w:pPr>
        <w:pStyle w:val="33"/>
        <w:rPr>
          <w:rFonts w:hint="eastAsia" w:ascii="宋体" w:hAnsi="宋体" w:eastAsia="宋体" w:cs="宋体"/>
          <w:b/>
          <w:color w:val="auto"/>
          <w:sz w:val="30"/>
          <w:szCs w:val="30"/>
        </w:rPr>
      </w:pPr>
    </w:p>
    <w:p w14:paraId="0A8EC7D9">
      <w:pPr>
        <w:pStyle w:val="33"/>
        <w:rPr>
          <w:rFonts w:hint="eastAsia" w:ascii="宋体" w:hAnsi="宋体" w:eastAsia="宋体" w:cs="宋体"/>
          <w:b/>
          <w:color w:val="auto"/>
          <w:sz w:val="30"/>
          <w:szCs w:val="30"/>
        </w:rPr>
      </w:pPr>
    </w:p>
    <w:p w14:paraId="2173E686">
      <w:pPr>
        <w:pStyle w:val="33"/>
        <w:rPr>
          <w:rFonts w:hint="eastAsia" w:ascii="宋体" w:hAnsi="宋体" w:eastAsia="宋体" w:cs="宋体"/>
          <w:b/>
          <w:color w:val="auto"/>
          <w:sz w:val="30"/>
          <w:szCs w:val="30"/>
        </w:rPr>
      </w:pPr>
    </w:p>
    <w:p w14:paraId="2C3A9FE2">
      <w:pPr>
        <w:pStyle w:val="33"/>
        <w:rPr>
          <w:rFonts w:hint="eastAsia" w:ascii="宋体" w:hAnsi="宋体" w:eastAsia="宋体" w:cs="宋体"/>
          <w:b/>
          <w:color w:val="auto"/>
          <w:sz w:val="30"/>
          <w:szCs w:val="30"/>
        </w:rPr>
      </w:pPr>
    </w:p>
    <w:p w14:paraId="4A127A10">
      <w:pPr>
        <w:pStyle w:val="33"/>
        <w:rPr>
          <w:rFonts w:hint="eastAsia" w:ascii="宋体" w:hAnsi="宋体" w:eastAsia="宋体" w:cs="宋体"/>
          <w:b/>
          <w:color w:val="auto"/>
          <w:sz w:val="30"/>
          <w:szCs w:val="30"/>
        </w:rPr>
      </w:pPr>
    </w:p>
    <w:p w14:paraId="6AE5DC85">
      <w:pPr>
        <w:pStyle w:val="33"/>
        <w:rPr>
          <w:rFonts w:hint="eastAsia" w:ascii="宋体" w:hAnsi="宋体" w:eastAsia="宋体" w:cs="宋体"/>
          <w:b/>
          <w:color w:val="auto"/>
          <w:sz w:val="30"/>
          <w:szCs w:val="30"/>
        </w:rPr>
      </w:pPr>
    </w:p>
    <w:p w14:paraId="420DA9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color w:val="auto"/>
          <w:sz w:val="30"/>
          <w:szCs w:val="30"/>
        </w:rPr>
      </w:pPr>
      <w:r>
        <w:rPr>
          <w:rFonts w:hint="eastAsia" w:ascii="宋体" w:hAnsi="宋体" w:eastAsia="宋体" w:cs="宋体"/>
          <w:b/>
          <w:color w:val="auto"/>
          <w:sz w:val="30"/>
          <w:szCs w:val="30"/>
        </w:rPr>
        <w:t>第四部分</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评标办法及评分标准</w:t>
      </w:r>
      <w:bookmarkEnd w:id="47"/>
    </w:p>
    <w:p w14:paraId="2AC4544B">
      <w:pPr>
        <w:snapToGrid w:val="0"/>
        <w:spacing w:line="360" w:lineRule="auto"/>
        <w:ind w:firstLine="420"/>
        <w:rPr>
          <w:rFonts w:ascii="宋体" w:hAnsi="宋体" w:eastAsia="宋体" w:cs="宋体"/>
          <w:b/>
          <w:i/>
          <w:color w:val="auto"/>
          <w:sz w:val="21"/>
          <w:szCs w:val="21"/>
        </w:rPr>
      </w:pPr>
      <w:r>
        <w:rPr>
          <w:rFonts w:hint="eastAsia" w:ascii="宋体" w:hAnsi="宋体" w:eastAsia="宋体" w:cs="宋体"/>
          <w:color w:val="auto"/>
          <w:sz w:val="21"/>
          <w:szCs w:val="21"/>
        </w:rPr>
        <w:t xml:space="preserve">一、采购组织机构将组织磋商小组，对供应商提供的磋商响应文件进行综合评审。   </w:t>
      </w:r>
    </w:p>
    <w:p w14:paraId="1FB2174F">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二、本次磋商项目的评审方法为</w:t>
      </w:r>
      <w:r>
        <w:rPr>
          <w:rFonts w:hint="eastAsia" w:ascii="宋体" w:hAnsi="宋体" w:eastAsia="宋体" w:cs="宋体"/>
          <w:b/>
          <w:color w:val="auto"/>
          <w:sz w:val="21"/>
          <w:szCs w:val="21"/>
        </w:rPr>
        <w:t>综合评分法</w:t>
      </w:r>
      <w:r>
        <w:rPr>
          <w:rFonts w:hint="eastAsia" w:ascii="宋体" w:hAnsi="宋体" w:eastAsia="宋体" w:cs="宋体"/>
          <w:color w:val="auto"/>
          <w:sz w:val="21"/>
          <w:szCs w:val="21"/>
        </w:rPr>
        <w:t>，总计100分</w:t>
      </w:r>
      <w:r>
        <w:rPr>
          <w:rFonts w:hint="eastAsia" w:ascii="宋体" w:hAnsi="宋体" w:eastAsia="宋体" w:cs="宋体"/>
          <w:bCs/>
          <w:color w:val="auto"/>
          <w:sz w:val="21"/>
          <w:szCs w:val="21"/>
          <w:lang w:val="zh-CN"/>
        </w:rPr>
        <w:t>(商务与技术文件为</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0</w:t>
      </w:r>
      <w:r>
        <w:rPr>
          <w:rFonts w:hint="eastAsia" w:ascii="宋体" w:hAnsi="宋体" w:eastAsia="宋体" w:cs="宋体"/>
          <w:bCs/>
          <w:color w:val="auto"/>
          <w:sz w:val="21"/>
          <w:szCs w:val="21"/>
          <w:lang w:val="zh-CN"/>
        </w:rPr>
        <w:t>分，报价文件为</w:t>
      </w: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0</w:t>
      </w:r>
      <w:r>
        <w:rPr>
          <w:rFonts w:hint="eastAsia" w:ascii="宋体" w:hAnsi="宋体" w:eastAsia="宋体" w:cs="宋体"/>
          <w:bCs/>
          <w:color w:val="auto"/>
          <w:sz w:val="21"/>
          <w:szCs w:val="21"/>
          <w:lang w:val="zh-CN"/>
        </w:rPr>
        <w:t>分)</w:t>
      </w:r>
      <w:r>
        <w:rPr>
          <w:rFonts w:hint="eastAsia" w:ascii="宋体" w:hAnsi="宋体" w:eastAsia="宋体" w:cs="宋体"/>
          <w:color w:val="auto"/>
          <w:sz w:val="21"/>
          <w:szCs w:val="21"/>
        </w:rPr>
        <w:t>。</w:t>
      </w:r>
    </w:p>
    <w:p w14:paraId="17E69B3A">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（一）商务与技术文件中的客观分由磋商小组讨论后统一打分；其余在规定的分值内单独评定打分。</w:t>
      </w:r>
    </w:p>
    <w:p w14:paraId="7A96E2DF">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（二）各磋商供应商商务与技术文件得分按照磋商小组成员的独立评分结果汇总后的算术平均分计算，计算公式为：</w:t>
      </w:r>
    </w:p>
    <w:p w14:paraId="2304DDD7">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商务与技术文件得分=磋商小组所有成员评分合计数/磋商小组组成人员数。</w:t>
      </w:r>
    </w:p>
    <w:p w14:paraId="51E73564">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（三）综合评分法中的价格分统一采用低价优先法计算，即满足磋商文件要求且最终报价最低的供应商的价格作为磋商基准价，其报价得满分。其他供应商的价格分统一按照下列公式计算：</w:t>
      </w:r>
    </w:p>
    <w:p w14:paraId="330D3F57">
      <w:pPr>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磋商报价得分=(磋商基准价／最终磋商报价)×</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0%×100 。</w:t>
      </w:r>
    </w:p>
    <w:p w14:paraId="7A605A26">
      <w:pPr>
        <w:pStyle w:val="33"/>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注：对于投标报价明显低于成本价，且投标人不能合理说明原因并提供证明材料的，评标小组认为其有可能影响商品质量和不能诚信履约的作无效标处理。</w:t>
      </w:r>
    </w:p>
    <w:p w14:paraId="0104F175">
      <w:pPr>
        <w:snapToGrid w:val="0"/>
        <w:spacing w:line="360" w:lineRule="auto"/>
        <w:ind w:firstLine="420"/>
        <w:rPr>
          <w:rFonts w:ascii="宋体" w:hAnsi="宋体" w:eastAsia="宋体" w:cs="宋体"/>
          <w:b/>
          <w:bCs/>
          <w:color w:val="auto"/>
          <w:sz w:val="21"/>
          <w:szCs w:val="21"/>
        </w:rPr>
      </w:pPr>
      <w:r>
        <w:rPr>
          <w:rFonts w:hint="eastAsia" w:ascii="宋体" w:hAnsi="宋体" w:eastAsia="宋体" w:cs="宋体"/>
          <w:color w:val="auto"/>
          <w:sz w:val="21"/>
          <w:szCs w:val="21"/>
        </w:rPr>
        <w:t>（四）政府采购政策及优惠：</w:t>
      </w:r>
      <w:r>
        <w:rPr>
          <w:rFonts w:hint="eastAsia" w:ascii="宋体" w:hAnsi="宋体" w:eastAsia="宋体" w:cs="宋体"/>
          <w:b/>
          <w:bCs/>
          <w:color w:val="auto"/>
          <w:sz w:val="21"/>
          <w:szCs w:val="21"/>
        </w:rPr>
        <w:t>本项目专门面向中小企业采购，价格评审时，小微企业的投标价格不作扣除。</w:t>
      </w:r>
    </w:p>
    <w:p w14:paraId="128D0ED6">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注：得分以系统计算为准，保留2位小数。</w:t>
      </w:r>
    </w:p>
    <w:p w14:paraId="51DBF400">
      <w:pPr>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三、在最大限度地满足磋商文件实质性要求前提下，磋商小组按照磋商文件中规定的各项因素进行综合评审后，以评审总得分最高的供应商为成交候选供应商。</w:t>
      </w:r>
    </w:p>
    <w:p w14:paraId="6C1A4C6E">
      <w:pPr>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四、按评审后综合得分由高到低顺序排列</w:t>
      </w:r>
      <w:r>
        <w:rPr>
          <w:rFonts w:hint="eastAsia" w:ascii="宋体" w:hAnsi="宋体" w:eastAsia="宋体" w:cs="宋体"/>
          <w:color w:val="auto"/>
          <w:sz w:val="21"/>
          <w:szCs w:val="21"/>
          <w:lang w:eastAsia="zh-CN"/>
        </w:rPr>
        <w:t>，推荐</w:t>
      </w:r>
      <w:r>
        <w:rPr>
          <w:rFonts w:hint="eastAsia" w:ascii="宋体" w:hAnsi="宋体" w:eastAsia="宋体" w:cs="宋体"/>
          <w:color w:val="auto"/>
          <w:sz w:val="21"/>
          <w:szCs w:val="21"/>
          <w:lang w:val="en-US" w:eastAsia="zh-CN"/>
        </w:rPr>
        <w:t>2名</w:t>
      </w:r>
      <w:r>
        <w:rPr>
          <w:rFonts w:hint="eastAsia" w:ascii="宋体" w:hAnsi="宋体" w:eastAsia="宋体" w:cs="宋体"/>
          <w:color w:val="auto"/>
          <w:sz w:val="21"/>
          <w:szCs w:val="21"/>
        </w:rPr>
        <w:t>中标候选人。综合得分相同的，按磋商报价由低到高顺序排列；综合得分且磋商报价相同的，按技术分得分由高到低顺序排列。</w:t>
      </w:r>
    </w:p>
    <w:p w14:paraId="4AB5F1E0">
      <w:pPr>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五、本次评分具体分值细化条款如下表:</w:t>
      </w:r>
    </w:p>
    <w:tbl>
      <w:tblPr>
        <w:tblStyle w:val="26"/>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896"/>
        <w:gridCol w:w="6662"/>
        <w:gridCol w:w="693"/>
      </w:tblGrid>
      <w:tr w14:paraId="4F8F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8" w:type="dxa"/>
            <w:vAlign w:val="center"/>
          </w:tcPr>
          <w:p w14:paraId="513477B1">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96" w:type="dxa"/>
            <w:vAlign w:val="center"/>
          </w:tcPr>
          <w:p w14:paraId="1D7B8892">
            <w:pPr>
              <w:pStyle w:val="22"/>
              <w:ind w:left="0" w:leftChars="0" w:firstLine="0" w:firstLineChars="0"/>
              <w:jc w:val="center"/>
              <w:rPr>
                <w:rFonts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6662" w:type="dxa"/>
            <w:vAlign w:val="center"/>
          </w:tcPr>
          <w:p w14:paraId="27A7AD70">
            <w:pPr>
              <w:pStyle w:val="22"/>
              <w:ind w:left="720" w:firstLine="482"/>
              <w:jc w:val="center"/>
              <w:rPr>
                <w:rFonts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693" w:type="dxa"/>
            <w:vAlign w:val="center"/>
          </w:tcPr>
          <w:p w14:paraId="5AF38C98">
            <w:pPr>
              <w:pStyle w:val="22"/>
              <w:ind w:left="0" w:leftChars="0"/>
              <w:jc w:val="center"/>
              <w:rPr>
                <w:rFonts w:ascii="宋体" w:hAnsi="宋体" w:eastAsia="宋体" w:cs="宋体"/>
                <w:b/>
                <w:bCs/>
                <w:color w:val="auto"/>
                <w:sz w:val="21"/>
                <w:szCs w:val="21"/>
              </w:rPr>
            </w:pPr>
            <w:r>
              <w:rPr>
                <w:rFonts w:hint="eastAsia" w:ascii="宋体" w:hAnsi="宋体" w:eastAsia="宋体" w:cs="宋体"/>
                <w:b/>
                <w:bCs/>
                <w:color w:val="auto"/>
                <w:sz w:val="21"/>
                <w:szCs w:val="21"/>
              </w:rPr>
              <w:t>分值</w:t>
            </w:r>
          </w:p>
        </w:tc>
      </w:tr>
      <w:tr w14:paraId="533C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46" w:type="dxa"/>
            <w:gridSpan w:val="3"/>
            <w:vAlign w:val="center"/>
          </w:tcPr>
          <w:p w14:paraId="20029961">
            <w:pPr>
              <w:pStyle w:val="22"/>
              <w:ind w:left="720" w:firstLine="482"/>
              <w:jc w:val="center"/>
              <w:rPr>
                <w:rFonts w:hint="eastAsia" w:ascii="宋体" w:hAnsi="宋体" w:eastAsia="宋体" w:cs="宋体"/>
                <w:b/>
                <w:bCs/>
                <w:color w:val="auto"/>
                <w:sz w:val="21"/>
                <w:szCs w:val="21"/>
              </w:rPr>
            </w:pPr>
            <w:r>
              <w:rPr>
                <w:rFonts w:hint="eastAsia" w:ascii="宋体" w:hAnsi="宋体" w:eastAsia="宋体" w:cs="宋体"/>
                <w:color w:val="auto"/>
                <w:sz w:val="21"/>
                <w:szCs w:val="21"/>
                <w:highlight w:val="none"/>
              </w:rPr>
              <w:t>一、商务资信分</w:t>
            </w:r>
          </w:p>
        </w:tc>
        <w:tc>
          <w:tcPr>
            <w:tcW w:w="693" w:type="dxa"/>
            <w:vAlign w:val="center"/>
          </w:tcPr>
          <w:p w14:paraId="3C05CC5B">
            <w:pPr>
              <w:pStyle w:val="22"/>
              <w:ind w:left="0" w:left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15</w:t>
            </w:r>
          </w:p>
        </w:tc>
      </w:tr>
      <w:tr w14:paraId="24F0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688" w:type="dxa"/>
            <w:vAlign w:val="center"/>
          </w:tcPr>
          <w:p w14:paraId="4AAA8167">
            <w:pPr>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p>
        </w:tc>
        <w:tc>
          <w:tcPr>
            <w:tcW w:w="1896" w:type="dxa"/>
            <w:vAlign w:val="center"/>
          </w:tcPr>
          <w:p w14:paraId="7C9552F5">
            <w:pPr>
              <w:widowControl/>
              <w:spacing w:line="300" w:lineRule="exact"/>
              <w:ind w:left="16" w:leftChars="0" w:right="248" w:rightChars="69" w:hanging="16" w:hangingChars="8"/>
              <w:jc w:val="center"/>
              <w:rPr>
                <w:rFonts w:hint="eastAsia" w:ascii="宋体" w:hAnsi="宋体" w:cs="宋体"/>
                <w:b/>
                <w:bCs/>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企业业绩</w:t>
            </w:r>
          </w:p>
        </w:tc>
        <w:tc>
          <w:tcPr>
            <w:tcW w:w="6662" w:type="dxa"/>
            <w:vAlign w:val="center"/>
          </w:tcPr>
          <w:p w14:paraId="42CD506B">
            <w:pPr>
              <w:rPr>
                <w:rFonts w:ascii="宋体" w:hAnsi="宋体" w:eastAsia="宋体" w:cs="宋体"/>
                <w:color w:val="auto"/>
                <w:sz w:val="21"/>
                <w:szCs w:val="21"/>
              </w:rPr>
            </w:pPr>
            <w:r>
              <w:rPr>
                <w:rFonts w:hint="eastAsia" w:ascii="宋体" w:hAnsi="宋体" w:eastAsia="宋体" w:cs="宋体"/>
                <w:color w:val="auto"/>
                <w:sz w:val="21"/>
                <w:szCs w:val="21"/>
              </w:rPr>
              <w:t>投标人具有近</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年（指20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月1日至今，以合同签订时间为准）类似项目业绩的，每个得1分，最多得3分。</w:t>
            </w:r>
          </w:p>
          <w:p w14:paraId="28A1D761">
            <w:pPr>
              <w:widowControl/>
              <w:spacing w:line="240" w:lineRule="auto"/>
              <w:ind w:right="248" w:rightChars="69"/>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rPr>
              <w:t>注：提供合同原件扫描件（须能清晰反映合同签订时间，未提供或提供不全的均不得分）。</w:t>
            </w:r>
          </w:p>
        </w:tc>
        <w:tc>
          <w:tcPr>
            <w:tcW w:w="693" w:type="dxa"/>
            <w:vAlign w:val="center"/>
          </w:tcPr>
          <w:p w14:paraId="65CBC851">
            <w:pPr>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p>
        </w:tc>
      </w:tr>
      <w:tr w14:paraId="03B0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688" w:type="dxa"/>
            <w:vMerge w:val="restart"/>
            <w:vAlign w:val="center"/>
          </w:tcPr>
          <w:p w14:paraId="0FB86ED5">
            <w:pPr>
              <w:jc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2</w:t>
            </w:r>
          </w:p>
        </w:tc>
        <w:tc>
          <w:tcPr>
            <w:tcW w:w="1896" w:type="dxa"/>
            <w:vMerge w:val="restart"/>
            <w:vAlign w:val="center"/>
          </w:tcPr>
          <w:p w14:paraId="23C19568">
            <w:pPr>
              <w:widowControl/>
              <w:spacing w:line="300" w:lineRule="exact"/>
              <w:ind w:right="248" w:rightChars="69"/>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项目管理班子配备情况</w:t>
            </w:r>
          </w:p>
        </w:tc>
        <w:tc>
          <w:tcPr>
            <w:tcW w:w="6662" w:type="dxa"/>
            <w:vAlign w:val="center"/>
          </w:tcPr>
          <w:p w14:paraId="70D00240">
            <w:pPr>
              <w:pStyle w:val="63"/>
              <w:widowControl w:val="0"/>
              <w:numPr>
                <w:ilvl w:val="0"/>
                <w:numId w:val="0"/>
              </w:numPr>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val="en-US" w:eastAsia="zh-CN"/>
              </w:rPr>
              <w:t>项目</w:t>
            </w:r>
            <w:r>
              <w:rPr>
                <w:rFonts w:hint="eastAsia" w:ascii="宋体" w:hAnsi="宋体" w:eastAsia="宋体" w:cs="宋体"/>
                <w:b w:val="0"/>
                <w:bCs w:val="0"/>
                <w:color w:val="auto"/>
                <w:kern w:val="2"/>
                <w:sz w:val="21"/>
                <w:szCs w:val="21"/>
                <w:highlight w:val="none"/>
              </w:rPr>
              <w:t>负责人</w:t>
            </w:r>
            <w:r>
              <w:rPr>
                <w:rFonts w:hint="eastAsia" w:ascii="宋体" w:hAnsi="宋体" w:eastAsia="宋体" w:cs="宋体"/>
                <w:b w:val="0"/>
                <w:bCs w:val="0"/>
                <w:color w:val="auto"/>
                <w:kern w:val="2"/>
                <w:sz w:val="21"/>
                <w:szCs w:val="21"/>
                <w:highlight w:val="none"/>
                <w:lang w:val="en-US" w:eastAsia="zh-CN"/>
              </w:rPr>
              <w:t>具有建筑工程类相关专业</w:t>
            </w:r>
            <w:r>
              <w:rPr>
                <w:rFonts w:hint="eastAsia" w:ascii="宋体" w:hAnsi="宋体" w:eastAsia="宋体" w:cs="宋体"/>
                <w:color w:val="auto"/>
                <w:kern w:val="2"/>
                <w:sz w:val="21"/>
                <w:szCs w:val="21"/>
              </w:rPr>
              <w:t>中级</w:t>
            </w:r>
            <w:r>
              <w:rPr>
                <w:rFonts w:hint="eastAsia" w:ascii="宋体" w:hAnsi="宋体" w:eastAsia="宋体" w:cs="宋体"/>
                <w:b w:val="0"/>
                <w:bCs w:val="0"/>
                <w:color w:val="auto"/>
                <w:kern w:val="2"/>
                <w:sz w:val="21"/>
                <w:szCs w:val="21"/>
                <w:highlight w:val="none"/>
                <w:lang w:val="en-US" w:eastAsia="zh-CN"/>
              </w:rPr>
              <w:t>及以上职称的得2分，</w:t>
            </w:r>
            <w:r>
              <w:rPr>
                <w:rFonts w:hint="eastAsia" w:ascii="宋体" w:hAnsi="宋体" w:eastAsia="宋体" w:cs="宋体"/>
                <w:color w:val="auto"/>
                <w:kern w:val="2"/>
                <w:sz w:val="21"/>
                <w:szCs w:val="21"/>
                <w:lang w:val="en-US" w:eastAsia="zh-CN"/>
              </w:rPr>
              <w:t>未提供得0分</w:t>
            </w:r>
            <w:r>
              <w:rPr>
                <w:rFonts w:hint="eastAsia" w:ascii="宋体" w:hAnsi="宋体" w:eastAsia="宋体" w:cs="宋体"/>
                <w:color w:val="auto"/>
                <w:kern w:val="2"/>
                <w:sz w:val="21"/>
                <w:szCs w:val="21"/>
              </w:rPr>
              <w:t>。</w:t>
            </w:r>
          </w:p>
          <w:p w14:paraId="1D68EDAA">
            <w:pPr>
              <w:widowControl/>
              <w:spacing w:line="300" w:lineRule="exact"/>
              <w:ind w:right="248" w:rightChars="69"/>
              <w:rPr>
                <w:rFonts w:ascii="宋体" w:hAnsi="宋体" w:eastAsia="宋体" w:cs="宋体"/>
                <w:b/>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eastAsia="zh-CN"/>
              </w:rPr>
              <w:t>提供</w:t>
            </w:r>
            <w:r>
              <w:rPr>
                <w:rFonts w:hint="eastAsia" w:ascii="宋体" w:hAnsi="宋体" w:eastAsia="宋体" w:cs="宋体"/>
                <w:b/>
                <w:bCs/>
                <w:color w:val="auto"/>
                <w:kern w:val="2"/>
                <w:sz w:val="21"/>
                <w:szCs w:val="21"/>
                <w:highlight w:val="none"/>
                <w:lang w:eastAsia="zh-CN"/>
              </w:rPr>
              <w:t>项目负责人</w:t>
            </w:r>
            <w:r>
              <w:rPr>
                <w:rFonts w:hint="eastAsia" w:ascii="宋体" w:hAnsi="宋体" w:eastAsia="宋体" w:cs="宋体"/>
                <w:b/>
                <w:bCs/>
                <w:color w:val="000000"/>
                <w:kern w:val="0"/>
                <w:sz w:val="20"/>
                <w:szCs w:val="20"/>
                <w:lang w:val="en-US" w:eastAsia="zh-CN" w:bidi="ar"/>
              </w:rPr>
              <w:t>职称证书及</w:t>
            </w:r>
            <w:r>
              <w:rPr>
                <w:rFonts w:hint="eastAsia" w:ascii="宋体" w:hAnsi="宋体" w:eastAsia="宋体" w:cs="宋体"/>
                <w:b/>
                <w:bCs/>
                <w:color w:val="auto"/>
                <w:kern w:val="2"/>
                <w:sz w:val="21"/>
                <w:szCs w:val="21"/>
                <w:highlight w:val="none"/>
                <w:lang w:eastAsia="zh-CN"/>
              </w:rPr>
              <w:t>投标截止时间前的近期社保证明扫描件</w:t>
            </w:r>
            <w:r>
              <w:rPr>
                <w:rFonts w:hint="eastAsia" w:ascii="宋体" w:hAnsi="宋体" w:eastAsia="宋体" w:cs="宋体"/>
                <w:b/>
                <w:bCs/>
                <w:sz w:val="21"/>
                <w:szCs w:val="21"/>
                <w:lang w:eastAsia="zh-CN"/>
              </w:rPr>
              <w:t>，不提供不得分。</w:t>
            </w:r>
          </w:p>
        </w:tc>
        <w:tc>
          <w:tcPr>
            <w:tcW w:w="693" w:type="dxa"/>
            <w:vAlign w:val="center"/>
          </w:tcPr>
          <w:p w14:paraId="7DA81F66">
            <w:pPr>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r>
      <w:tr w14:paraId="7549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Merge w:val="continue"/>
            <w:vAlign w:val="center"/>
          </w:tcPr>
          <w:p w14:paraId="09A4C935">
            <w:pPr>
              <w:widowControl/>
              <w:jc w:val="center"/>
              <w:rPr>
                <w:rFonts w:ascii="宋体" w:hAnsi="宋体" w:eastAsia="宋体" w:cs="宋体"/>
                <w:color w:val="auto"/>
                <w:kern w:val="0"/>
                <w:sz w:val="21"/>
                <w:szCs w:val="21"/>
              </w:rPr>
            </w:pPr>
          </w:p>
        </w:tc>
        <w:tc>
          <w:tcPr>
            <w:tcW w:w="1896" w:type="dxa"/>
            <w:vMerge w:val="continue"/>
            <w:vAlign w:val="center"/>
          </w:tcPr>
          <w:p w14:paraId="73CB6FCF">
            <w:pPr>
              <w:widowControl/>
              <w:spacing w:line="300" w:lineRule="exact"/>
              <w:ind w:right="248" w:rightChars="69"/>
              <w:jc w:val="center"/>
              <w:rPr>
                <w:rFonts w:ascii="宋体" w:hAnsi="宋体" w:eastAsia="宋体" w:cs="宋体"/>
                <w:color w:val="auto"/>
                <w:kern w:val="0"/>
                <w:sz w:val="21"/>
                <w:szCs w:val="21"/>
              </w:rPr>
            </w:pPr>
          </w:p>
        </w:tc>
        <w:tc>
          <w:tcPr>
            <w:tcW w:w="6662" w:type="dxa"/>
            <w:vAlign w:val="center"/>
          </w:tcPr>
          <w:p w14:paraId="4F7D1093">
            <w:pPr>
              <w:pStyle w:val="63"/>
              <w:widowControl w:val="0"/>
              <w:numPr>
                <w:ilvl w:val="0"/>
                <w:numId w:val="0"/>
              </w:numPr>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项目技术负责人具有</w:t>
            </w:r>
            <w:r>
              <w:rPr>
                <w:rFonts w:hint="eastAsia" w:ascii="宋体" w:hAnsi="宋体" w:eastAsia="宋体" w:cs="宋体"/>
                <w:b w:val="0"/>
                <w:bCs w:val="0"/>
                <w:color w:val="auto"/>
                <w:kern w:val="2"/>
                <w:sz w:val="21"/>
                <w:szCs w:val="21"/>
                <w:highlight w:val="none"/>
                <w:lang w:val="en-US" w:eastAsia="zh-CN"/>
              </w:rPr>
              <w:t>建筑工程类相关专业</w:t>
            </w:r>
            <w:r>
              <w:rPr>
                <w:rFonts w:hint="eastAsia" w:ascii="宋体" w:hAnsi="宋体" w:eastAsia="宋体" w:cs="宋体"/>
                <w:color w:val="auto"/>
                <w:kern w:val="2"/>
                <w:sz w:val="21"/>
                <w:szCs w:val="21"/>
              </w:rPr>
              <w:t>中级</w:t>
            </w:r>
            <w:r>
              <w:rPr>
                <w:rFonts w:hint="eastAsia" w:ascii="宋体" w:hAnsi="宋体" w:eastAsia="宋体" w:cs="宋体"/>
                <w:color w:val="auto"/>
                <w:kern w:val="2"/>
                <w:sz w:val="21"/>
                <w:szCs w:val="21"/>
                <w:lang w:eastAsia="zh-CN"/>
              </w:rPr>
              <w:t>及以上</w:t>
            </w:r>
            <w:r>
              <w:rPr>
                <w:rFonts w:hint="eastAsia" w:ascii="宋体" w:hAnsi="宋体" w:eastAsia="宋体" w:cs="宋体"/>
                <w:color w:val="auto"/>
                <w:kern w:val="2"/>
                <w:sz w:val="21"/>
                <w:szCs w:val="21"/>
              </w:rPr>
              <w:t>职称的得</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未提供得0分</w:t>
            </w:r>
            <w:r>
              <w:rPr>
                <w:rFonts w:hint="eastAsia" w:ascii="宋体" w:hAnsi="宋体" w:eastAsia="宋体" w:cs="宋体"/>
                <w:color w:val="auto"/>
                <w:kern w:val="2"/>
                <w:sz w:val="21"/>
                <w:szCs w:val="21"/>
              </w:rPr>
              <w:t>。</w:t>
            </w:r>
          </w:p>
          <w:p w14:paraId="723A8B26">
            <w:pPr>
              <w:widowControl/>
              <w:spacing w:line="300" w:lineRule="exact"/>
              <w:ind w:right="248" w:rightChars="69"/>
              <w:rPr>
                <w:rFonts w:hint="eastAsia" w:ascii="宋体" w:hAnsi="宋体" w:eastAsia="宋体" w:cs="宋体"/>
                <w:b/>
                <w:bCs/>
                <w:color w:val="auto"/>
                <w:sz w:val="21"/>
                <w:szCs w:val="21"/>
              </w:rPr>
            </w:pPr>
            <w:r>
              <w:rPr>
                <w:rFonts w:hint="eastAsia" w:ascii="宋体" w:hAnsi="宋体" w:eastAsia="宋体" w:cs="宋体"/>
                <w:b/>
                <w:bCs/>
                <w:color w:val="auto"/>
                <w:sz w:val="21"/>
                <w:szCs w:val="21"/>
              </w:rPr>
              <w:t>注：提</w:t>
            </w:r>
            <w:r>
              <w:rPr>
                <w:rFonts w:hint="eastAsia" w:ascii="宋体" w:hAnsi="宋体" w:eastAsia="宋体" w:cs="宋体"/>
                <w:b/>
                <w:color w:val="auto"/>
                <w:sz w:val="21"/>
                <w:szCs w:val="21"/>
                <w:lang w:eastAsia="zh-CN"/>
              </w:rPr>
              <w:t>供技术负责人</w:t>
            </w:r>
            <w:r>
              <w:rPr>
                <w:rFonts w:hint="eastAsia" w:ascii="宋体" w:hAnsi="宋体" w:eastAsia="宋体" w:cs="宋体"/>
                <w:b/>
                <w:color w:val="auto"/>
                <w:sz w:val="21"/>
                <w:szCs w:val="21"/>
                <w:lang w:val="en-US" w:eastAsia="zh-CN"/>
              </w:rPr>
              <w:t>的</w:t>
            </w:r>
            <w:r>
              <w:rPr>
                <w:rFonts w:hint="eastAsia" w:ascii="宋体" w:hAnsi="宋体" w:eastAsia="宋体" w:cs="宋体"/>
                <w:b/>
                <w:color w:val="auto"/>
                <w:sz w:val="21"/>
                <w:szCs w:val="21"/>
                <w:lang w:eastAsia="zh-CN"/>
              </w:rPr>
              <w:t>职称</w:t>
            </w:r>
            <w:r>
              <w:rPr>
                <w:rFonts w:hint="eastAsia" w:ascii="宋体" w:hAnsi="宋体" w:eastAsia="宋体" w:cs="宋体"/>
                <w:b/>
                <w:color w:val="auto"/>
                <w:sz w:val="21"/>
                <w:szCs w:val="21"/>
              </w:rPr>
              <w:t>证</w:t>
            </w:r>
            <w:r>
              <w:rPr>
                <w:rFonts w:hint="eastAsia" w:ascii="宋体" w:hAnsi="宋体" w:eastAsia="宋体" w:cs="宋体"/>
                <w:b/>
                <w:color w:val="auto"/>
                <w:sz w:val="21"/>
                <w:szCs w:val="21"/>
                <w:lang w:eastAsia="zh-CN"/>
              </w:rPr>
              <w:t>书</w:t>
            </w:r>
            <w:r>
              <w:rPr>
                <w:rFonts w:hint="eastAsia" w:ascii="宋体" w:hAnsi="宋体" w:eastAsia="宋体" w:cs="宋体"/>
                <w:b/>
                <w:color w:val="auto"/>
                <w:sz w:val="21"/>
                <w:szCs w:val="21"/>
              </w:rPr>
              <w:t>扫描件</w:t>
            </w:r>
            <w:r>
              <w:rPr>
                <w:rFonts w:hint="eastAsia" w:ascii="宋体" w:hAnsi="宋体" w:eastAsia="宋体" w:cs="宋体"/>
                <w:b/>
                <w:color w:val="auto"/>
                <w:sz w:val="21"/>
                <w:szCs w:val="21"/>
                <w:lang w:eastAsia="zh-CN"/>
              </w:rPr>
              <w:t>和</w:t>
            </w:r>
            <w:r>
              <w:rPr>
                <w:rFonts w:hint="eastAsia" w:ascii="宋体" w:hAnsi="宋体" w:eastAsia="宋体" w:cs="宋体"/>
                <w:b/>
                <w:bCs/>
                <w:color w:val="auto"/>
                <w:sz w:val="21"/>
                <w:szCs w:val="21"/>
                <w:highlight w:val="none"/>
              </w:rPr>
              <w:t>投标截止时间前的</w:t>
            </w:r>
            <w:r>
              <w:rPr>
                <w:rFonts w:hint="eastAsia" w:ascii="宋体" w:hAnsi="宋体" w:eastAsia="宋体" w:cs="宋体"/>
                <w:b/>
                <w:bCs/>
                <w:color w:val="auto"/>
                <w:sz w:val="21"/>
                <w:szCs w:val="21"/>
                <w:highlight w:val="none"/>
                <w:lang w:eastAsia="zh-CN"/>
              </w:rPr>
              <w:t>近期</w:t>
            </w:r>
            <w:r>
              <w:rPr>
                <w:rFonts w:hint="eastAsia" w:ascii="宋体" w:hAnsi="宋体" w:eastAsia="宋体" w:cs="宋体"/>
                <w:b/>
                <w:bCs/>
                <w:color w:val="auto"/>
                <w:sz w:val="21"/>
                <w:szCs w:val="21"/>
                <w:highlight w:val="none"/>
              </w:rPr>
              <w:t>社保证明</w:t>
            </w:r>
            <w:r>
              <w:rPr>
                <w:rFonts w:hint="eastAsia" w:ascii="宋体" w:hAnsi="宋体" w:eastAsia="宋体" w:cs="宋体"/>
                <w:b/>
                <w:color w:val="auto"/>
                <w:sz w:val="21"/>
                <w:szCs w:val="21"/>
                <w:lang w:eastAsia="zh-CN"/>
              </w:rPr>
              <w:t>扫描件</w:t>
            </w:r>
            <w:r>
              <w:rPr>
                <w:rFonts w:hint="eastAsia" w:ascii="宋体" w:hAnsi="宋体" w:eastAsia="宋体" w:cs="宋体"/>
                <w:b/>
                <w:bCs/>
                <w:color w:val="auto"/>
                <w:sz w:val="21"/>
                <w:szCs w:val="21"/>
                <w:lang w:eastAsia="zh-CN"/>
              </w:rPr>
              <w:t>，不提供不得分。</w:t>
            </w:r>
          </w:p>
        </w:tc>
        <w:tc>
          <w:tcPr>
            <w:tcW w:w="693" w:type="dxa"/>
            <w:vAlign w:val="center"/>
          </w:tcPr>
          <w:p w14:paraId="0A25CA1A">
            <w:pPr>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r>
      <w:tr w14:paraId="38D0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Merge w:val="continue"/>
            <w:vAlign w:val="center"/>
          </w:tcPr>
          <w:p w14:paraId="71D7DC1B">
            <w:pPr>
              <w:widowControl/>
              <w:jc w:val="center"/>
              <w:rPr>
                <w:rFonts w:ascii="宋体" w:hAnsi="宋体" w:eastAsia="宋体" w:cs="宋体"/>
                <w:color w:val="auto"/>
                <w:kern w:val="0"/>
                <w:sz w:val="21"/>
                <w:szCs w:val="21"/>
              </w:rPr>
            </w:pPr>
          </w:p>
        </w:tc>
        <w:tc>
          <w:tcPr>
            <w:tcW w:w="1896" w:type="dxa"/>
            <w:vMerge w:val="continue"/>
            <w:vAlign w:val="center"/>
          </w:tcPr>
          <w:p w14:paraId="3DD17CBE">
            <w:pPr>
              <w:widowControl/>
              <w:spacing w:line="300" w:lineRule="exact"/>
              <w:ind w:right="248" w:rightChars="69"/>
              <w:jc w:val="center"/>
              <w:rPr>
                <w:rFonts w:ascii="宋体" w:hAnsi="宋体" w:eastAsia="宋体" w:cs="宋体"/>
                <w:color w:val="auto"/>
                <w:kern w:val="0"/>
                <w:sz w:val="21"/>
                <w:szCs w:val="21"/>
              </w:rPr>
            </w:pPr>
          </w:p>
        </w:tc>
        <w:tc>
          <w:tcPr>
            <w:tcW w:w="6662" w:type="dxa"/>
            <w:vAlign w:val="center"/>
          </w:tcPr>
          <w:p w14:paraId="59D009EF">
            <w:pPr>
              <w:widowControl/>
              <w:spacing w:line="300" w:lineRule="exact"/>
              <w:ind w:right="248" w:rightChars="69"/>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投标人项目管理人员</w:t>
            </w:r>
            <w:r>
              <w:rPr>
                <w:rFonts w:hint="eastAsia" w:ascii="宋体" w:hAnsi="宋体" w:eastAsia="宋体" w:cs="宋体"/>
                <w:b/>
                <w:bCs/>
                <w:color w:val="auto"/>
                <w:sz w:val="21"/>
                <w:szCs w:val="21"/>
                <w:lang w:val="en-US" w:eastAsia="zh-CN"/>
              </w:rPr>
              <w:t>具有施工员、质量员、安全员证书</w:t>
            </w:r>
            <w:r>
              <w:rPr>
                <w:rFonts w:hint="eastAsia" w:ascii="宋体" w:hAnsi="宋体" w:eastAsia="宋体" w:cs="宋体"/>
                <w:b/>
                <w:bCs/>
                <w:color w:val="auto"/>
                <w:sz w:val="21"/>
                <w:szCs w:val="21"/>
              </w:rPr>
              <w:t>的得3分。缺一本扣1分，扣完为止，未提供得0分。（提供有效期内的证书扫描件和</w:t>
            </w:r>
            <w:r>
              <w:rPr>
                <w:rFonts w:hint="eastAsia" w:ascii="宋体" w:hAnsi="宋体" w:eastAsia="宋体" w:cs="宋体"/>
                <w:b/>
                <w:bCs/>
                <w:color w:val="auto"/>
                <w:sz w:val="21"/>
                <w:szCs w:val="21"/>
                <w:highlight w:val="none"/>
              </w:rPr>
              <w:t>投标截止时间前的</w:t>
            </w:r>
            <w:r>
              <w:rPr>
                <w:rFonts w:hint="eastAsia" w:ascii="宋体" w:hAnsi="宋体" w:eastAsia="宋体" w:cs="宋体"/>
                <w:b/>
                <w:bCs/>
                <w:color w:val="auto"/>
                <w:sz w:val="21"/>
                <w:szCs w:val="21"/>
                <w:highlight w:val="none"/>
                <w:lang w:eastAsia="zh-CN"/>
              </w:rPr>
              <w:t>近期</w:t>
            </w:r>
            <w:r>
              <w:rPr>
                <w:rFonts w:hint="eastAsia" w:ascii="宋体" w:hAnsi="宋体" w:eastAsia="宋体" w:cs="宋体"/>
                <w:b/>
                <w:bCs/>
                <w:color w:val="auto"/>
                <w:sz w:val="21"/>
                <w:szCs w:val="21"/>
                <w:highlight w:val="none"/>
              </w:rPr>
              <w:t>社保证明</w:t>
            </w:r>
            <w:r>
              <w:rPr>
                <w:rFonts w:hint="eastAsia" w:ascii="宋体" w:hAnsi="宋体" w:eastAsia="宋体" w:cs="宋体"/>
                <w:b/>
                <w:color w:val="auto"/>
                <w:sz w:val="21"/>
                <w:szCs w:val="21"/>
                <w:lang w:eastAsia="zh-CN"/>
              </w:rPr>
              <w:t>扫描件</w:t>
            </w:r>
            <w:r>
              <w:rPr>
                <w:rFonts w:hint="eastAsia" w:ascii="宋体" w:hAnsi="宋体" w:eastAsia="宋体" w:cs="宋体"/>
                <w:b/>
                <w:bCs/>
                <w:color w:val="auto"/>
                <w:sz w:val="21"/>
                <w:szCs w:val="21"/>
              </w:rPr>
              <w:t>，不提供不得分）。</w:t>
            </w:r>
          </w:p>
        </w:tc>
        <w:tc>
          <w:tcPr>
            <w:tcW w:w="693" w:type="dxa"/>
            <w:vAlign w:val="center"/>
          </w:tcPr>
          <w:p w14:paraId="27402BF0">
            <w:pPr>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r w14:paraId="1587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Align w:val="center"/>
          </w:tcPr>
          <w:p w14:paraId="3F20FC67">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896" w:type="dxa"/>
            <w:vAlign w:val="center"/>
          </w:tcPr>
          <w:p w14:paraId="003D94B4">
            <w:pPr>
              <w:jc w:val="center"/>
              <w:rPr>
                <w:rFonts w:hint="eastAsia" w:ascii="宋体" w:hAnsi="宋体"/>
                <w:b w:val="0"/>
                <w:bCs w:val="0"/>
                <w:color w:val="auto"/>
                <w:sz w:val="22"/>
                <w:szCs w:val="22"/>
                <w:highlight w:val="none"/>
              </w:rPr>
            </w:pPr>
            <w:r>
              <w:rPr>
                <w:rFonts w:hint="eastAsia" w:ascii="宋体" w:hAnsi="宋体" w:eastAsia="宋体" w:cs="宋体"/>
                <w:color w:val="auto"/>
                <w:kern w:val="0"/>
                <w:sz w:val="21"/>
                <w:szCs w:val="21"/>
                <w:lang w:val="en-GB" w:eastAsia="zh-CN" w:bidi="ar-SA"/>
              </w:rPr>
              <w:t>质保期响应时间的承诺</w:t>
            </w:r>
          </w:p>
        </w:tc>
        <w:tc>
          <w:tcPr>
            <w:tcW w:w="6662" w:type="dxa"/>
            <w:vAlign w:val="center"/>
          </w:tcPr>
          <w:p w14:paraId="5295E76A">
            <w:pPr>
              <w:widowControl/>
              <w:spacing w:line="240" w:lineRule="auto"/>
              <w:ind w:right="248" w:rightChars="69"/>
              <w:rPr>
                <w:rFonts w:hint="eastAsia" w:ascii="宋体" w:hAnsi="宋体" w:eastAsia="宋体" w:cs="宋体"/>
                <w:b w:val="0"/>
                <w:bCs w:val="0"/>
                <w:color w:val="auto"/>
                <w:sz w:val="21"/>
                <w:szCs w:val="21"/>
                <w:lang w:val="en-GB" w:eastAsia="zh-CN"/>
              </w:rPr>
            </w:pPr>
            <w:r>
              <w:rPr>
                <w:rFonts w:hint="eastAsia" w:ascii="宋体" w:hAnsi="宋体" w:eastAsia="宋体" w:cs="宋体"/>
                <w:b w:val="0"/>
                <w:bCs w:val="0"/>
                <w:color w:val="auto"/>
                <w:sz w:val="21"/>
                <w:szCs w:val="21"/>
                <w:lang w:val="en-GB" w:eastAsia="zh-CN"/>
              </w:rPr>
              <w:t>响应时间≥48小时，得0分；</w:t>
            </w:r>
          </w:p>
          <w:p w14:paraId="15408364">
            <w:pPr>
              <w:widowControl/>
              <w:spacing w:line="240" w:lineRule="auto"/>
              <w:ind w:right="248" w:rightChars="69"/>
              <w:rPr>
                <w:rFonts w:hint="eastAsia" w:ascii="宋体" w:hAnsi="宋体" w:eastAsia="宋体" w:cs="宋体"/>
                <w:b w:val="0"/>
                <w:bCs w:val="0"/>
                <w:color w:val="auto"/>
                <w:sz w:val="21"/>
                <w:szCs w:val="21"/>
                <w:lang w:val="en-GB" w:eastAsia="zh-CN"/>
              </w:rPr>
            </w:pPr>
            <w:r>
              <w:rPr>
                <w:rFonts w:hint="eastAsia" w:ascii="宋体" w:hAnsi="宋体" w:eastAsia="宋体" w:cs="宋体"/>
                <w:b w:val="0"/>
                <w:bCs w:val="0"/>
                <w:color w:val="auto"/>
                <w:sz w:val="21"/>
                <w:szCs w:val="21"/>
                <w:lang w:val="en-GB" w:eastAsia="zh-CN"/>
              </w:rPr>
              <w:t>48小时＞响应时间≥24小时，得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en-GB" w:eastAsia="zh-CN"/>
              </w:rPr>
              <w:t>分；</w:t>
            </w:r>
          </w:p>
          <w:p w14:paraId="61FE2499">
            <w:pPr>
              <w:pStyle w:val="2"/>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GB" w:eastAsia="zh-CN"/>
              </w:rPr>
              <w:t>响应时间＜24小时，得</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en-GB" w:eastAsia="zh-CN"/>
              </w:rPr>
              <w:t>分。</w:t>
            </w:r>
          </w:p>
        </w:tc>
        <w:tc>
          <w:tcPr>
            <w:tcW w:w="693" w:type="dxa"/>
            <w:vAlign w:val="center"/>
          </w:tcPr>
          <w:p w14:paraId="6BF04DE8">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5</w:t>
            </w:r>
          </w:p>
        </w:tc>
      </w:tr>
      <w:tr w14:paraId="24FE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246" w:type="dxa"/>
            <w:gridSpan w:val="3"/>
            <w:vAlign w:val="center"/>
          </w:tcPr>
          <w:p w14:paraId="26F6A213">
            <w:pPr>
              <w:pStyle w:val="2"/>
              <w:jc w:val="center"/>
              <w:rPr>
                <w:rFonts w:hint="eastAsia" w:ascii="宋体" w:hAnsi="宋体" w:eastAsia="宋体" w:cs="宋体"/>
                <w:b w:val="0"/>
                <w:bCs w:val="0"/>
                <w:color w:val="auto"/>
                <w:sz w:val="21"/>
                <w:szCs w:val="21"/>
                <w:lang w:val="en-GB" w:eastAsia="zh-CN"/>
              </w:rPr>
            </w:pPr>
            <w:r>
              <w:rPr>
                <w:rFonts w:hint="eastAsia" w:ascii="宋体" w:hAnsi="宋体" w:eastAsia="宋体" w:cs="宋体"/>
                <w:b/>
                <w:bCs/>
                <w:color w:val="auto"/>
                <w:sz w:val="21"/>
                <w:szCs w:val="21"/>
                <w:highlight w:val="none"/>
              </w:rPr>
              <w:t>二、技术分</w:t>
            </w:r>
          </w:p>
        </w:tc>
        <w:tc>
          <w:tcPr>
            <w:tcW w:w="693" w:type="dxa"/>
            <w:vAlign w:val="center"/>
          </w:tcPr>
          <w:p w14:paraId="5D152572">
            <w:pPr>
              <w:widowControl/>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w:t>
            </w:r>
          </w:p>
        </w:tc>
      </w:tr>
      <w:tr w14:paraId="2AA5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Align w:val="center"/>
          </w:tcPr>
          <w:p w14:paraId="25C785A5">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896" w:type="dxa"/>
            <w:vAlign w:val="center"/>
          </w:tcPr>
          <w:p w14:paraId="56148ED3">
            <w:pPr>
              <w:jc w:val="center"/>
              <w:rPr>
                <w:rFonts w:ascii="宋体" w:hAnsi="宋体" w:eastAsia="宋体" w:cs="宋体"/>
                <w:b w:val="0"/>
                <w:bCs w:val="0"/>
                <w:color w:val="auto"/>
                <w:kern w:val="0"/>
                <w:sz w:val="21"/>
                <w:szCs w:val="21"/>
              </w:rPr>
            </w:pPr>
            <w:r>
              <w:rPr>
                <w:rFonts w:hint="eastAsia" w:ascii="宋体" w:hAnsi="宋体"/>
                <w:b w:val="0"/>
                <w:bCs w:val="0"/>
                <w:color w:val="auto"/>
                <w:sz w:val="22"/>
                <w:szCs w:val="22"/>
                <w:highlight w:val="none"/>
              </w:rPr>
              <w:t>施工技术方案</w:t>
            </w:r>
          </w:p>
        </w:tc>
        <w:tc>
          <w:tcPr>
            <w:tcW w:w="6662" w:type="dxa"/>
            <w:vAlign w:val="center"/>
          </w:tcPr>
          <w:p w14:paraId="780B3600">
            <w:pPr>
              <w:widowControl/>
              <w:spacing w:line="300" w:lineRule="exact"/>
              <w:ind w:right="248" w:rightChars="6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根据投标人拟定的施工技术方案是否满足本项目实际情况，是否有针对性、可操作性、先进性、经济性等进行综合评定，由评委进行打分，</w:t>
            </w:r>
            <w:r>
              <w:rPr>
                <w:rFonts w:hint="eastAsia" w:ascii="宋体" w:hAnsi="宋体" w:cs="宋体"/>
                <w:b w:val="0"/>
                <w:bCs w:val="0"/>
                <w:color w:val="auto"/>
                <w:sz w:val="21"/>
                <w:szCs w:val="21"/>
                <w:highlight w:val="none"/>
                <w:lang w:val="en-US" w:eastAsia="zh-CN"/>
              </w:rPr>
              <w:t>一档得4分；二档3.5分；三档3分；四档2.5分；五档2分；六档1.5分；七档1分；八档0.5分，未提供得0分。</w:t>
            </w:r>
          </w:p>
        </w:tc>
        <w:tc>
          <w:tcPr>
            <w:tcW w:w="693" w:type="dxa"/>
            <w:vAlign w:val="center"/>
          </w:tcPr>
          <w:p w14:paraId="6D971E7A">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14:paraId="3A3E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Align w:val="center"/>
          </w:tcPr>
          <w:p w14:paraId="023219C8">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1896" w:type="dxa"/>
            <w:vAlign w:val="center"/>
          </w:tcPr>
          <w:p w14:paraId="77940B8A">
            <w:pPr>
              <w:pStyle w:val="22"/>
              <w:ind w:left="16" w:leftChars="0" w:hanging="16" w:hangingChars="8"/>
              <w:jc w:val="center"/>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highlight w:val="none"/>
              </w:rPr>
              <w:t>质量</w:t>
            </w:r>
            <w:r>
              <w:rPr>
                <w:rFonts w:hint="eastAsia" w:ascii="宋体" w:hAnsi="宋体" w:cs="宋体"/>
                <w:b w:val="0"/>
                <w:bCs w:val="0"/>
                <w:color w:val="auto"/>
                <w:kern w:val="0"/>
                <w:sz w:val="21"/>
                <w:szCs w:val="21"/>
                <w:highlight w:val="none"/>
                <w:lang w:val="en-US" w:eastAsia="zh-CN"/>
              </w:rPr>
              <w:t>控制的重点难点及保证</w:t>
            </w:r>
            <w:r>
              <w:rPr>
                <w:rFonts w:hint="eastAsia" w:ascii="宋体" w:hAnsi="宋体" w:eastAsia="宋体" w:cs="宋体"/>
                <w:b w:val="0"/>
                <w:bCs w:val="0"/>
                <w:color w:val="auto"/>
                <w:kern w:val="0"/>
                <w:sz w:val="21"/>
                <w:szCs w:val="21"/>
                <w:highlight w:val="none"/>
              </w:rPr>
              <w:t>措施</w:t>
            </w:r>
          </w:p>
        </w:tc>
        <w:tc>
          <w:tcPr>
            <w:tcW w:w="6662" w:type="dxa"/>
            <w:vAlign w:val="center"/>
          </w:tcPr>
          <w:p w14:paraId="6EB99800">
            <w:pPr>
              <w:widowControl/>
              <w:spacing w:line="300" w:lineRule="exact"/>
              <w:ind w:right="248" w:rightChars="6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w:t>
            </w:r>
            <w:r>
              <w:rPr>
                <w:rFonts w:hint="eastAsia" w:ascii="宋体" w:hAnsi="宋体" w:eastAsia="宋体" w:cs="宋体"/>
                <w:b w:val="0"/>
                <w:bCs w:val="0"/>
                <w:color w:val="auto"/>
                <w:sz w:val="21"/>
                <w:szCs w:val="21"/>
                <w:lang w:val="en-US" w:eastAsia="zh-CN"/>
              </w:rPr>
              <w:t>投标人拟定的质量控制的重点难点以及保证措施于本工程的符合性、精确性、全面性、合理性等进行综合评定，由评委进行打分，</w:t>
            </w:r>
            <w:r>
              <w:rPr>
                <w:rFonts w:hint="eastAsia" w:ascii="宋体" w:hAnsi="宋体" w:cs="宋体"/>
                <w:b w:val="0"/>
                <w:bCs w:val="0"/>
                <w:color w:val="auto"/>
                <w:sz w:val="21"/>
                <w:szCs w:val="21"/>
                <w:highlight w:val="none"/>
                <w:lang w:val="en-US" w:eastAsia="zh-CN"/>
              </w:rPr>
              <w:t>一档得4分；二档3.5分；三档3分；四档2.5分；五档2分；六档1.5分；七档1分；八档0.5分，未提供得0分。</w:t>
            </w:r>
          </w:p>
        </w:tc>
        <w:tc>
          <w:tcPr>
            <w:tcW w:w="693" w:type="dxa"/>
            <w:vAlign w:val="center"/>
          </w:tcPr>
          <w:p w14:paraId="2939067D">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14:paraId="7A45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Align w:val="center"/>
          </w:tcPr>
          <w:p w14:paraId="2BC41E62">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1896" w:type="dxa"/>
            <w:vAlign w:val="center"/>
          </w:tcPr>
          <w:p w14:paraId="43E00D78">
            <w:pPr>
              <w:pStyle w:val="22"/>
              <w:ind w:left="16" w:leftChars="0" w:hanging="16" w:hangingChars="8"/>
              <w:jc w:val="center"/>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highlight w:val="none"/>
                <w:lang w:val="en-GB" w:eastAsia="zh-CN"/>
              </w:rPr>
              <w:t>进度计划及保证措施</w:t>
            </w:r>
          </w:p>
        </w:tc>
        <w:tc>
          <w:tcPr>
            <w:tcW w:w="6662" w:type="dxa"/>
            <w:vAlign w:val="center"/>
          </w:tcPr>
          <w:p w14:paraId="0B719ABA">
            <w:pPr>
              <w:widowControl/>
              <w:spacing w:line="300" w:lineRule="exact"/>
              <w:ind w:right="248" w:rightChars="6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w:t>
            </w:r>
            <w:r>
              <w:rPr>
                <w:rFonts w:hint="eastAsia" w:ascii="宋体" w:hAnsi="宋体" w:eastAsia="宋体" w:cs="宋体"/>
                <w:b w:val="0"/>
                <w:bCs w:val="0"/>
                <w:color w:val="auto"/>
                <w:sz w:val="21"/>
                <w:szCs w:val="21"/>
                <w:lang w:val="en-US" w:eastAsia="zh-CN"/>
              </w:rPr>
              <w:t>投标人拟定的工程进度计划及保证措施是否主次分明、条理清晰、切实可行等进行综合评定，由评委进行打分，</w:t>
            </w:r>
            <w:r>
              <w:rPr>
                <w:rFonts w:hint="eastAsia" w:ascii="宋体" w:hAnsi="宋体" w:cs="宋体"/>
                <w:b w:val="0"/>
                <w:bCs w:val="0"/>
                <w:color w:val="auto"/>
                <w:sz w:val="21"/>
                <w:szCs w:val="21"/>
                <w:highlight w:val="none"/>
                <w:lang w:val="en-US" w:eastAsia="zh-CN"/>
              </w:rPr>
              <w:t>一档得4分；二档3.5分；三档3分；四档2.5分；五档2分；六档1.5分；七档1分；八档0.5分，未提供得0分。</w:t>
            </w:r>
          </w:p>
        </w:tc>
        <w:tc>
          <w:tcPr>
            <w:tcW w:w="693" w:type="dxa"/>
            <w:vAlign w:val="center"/>
          </w:tcPr>
          <w:p w14:paraId="254C934A">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14:paraId="01A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88" w:type="dxa"/>
            <w:vAlign w:val="center"/>
          </w:tcPr>
          <w:p w14:paraId="22910613">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1896" w:type="dxa"/>
            <w:vAlign w:val="center"/>
          </w:tcPr>
          <w:p w14:paraId="4D3BB957">
            <w:pPr>
              <w:pStyle w:val="22"/>
              <w:ind w:left="16" w:leftChars="0" w:hanging="16" w:hangingChars="8"/>
              <w:jc w:val="center"/>
              <w:rPr>
                <w:rFonts w:hint="eastAsia" w:ascii="宋体" w:hAnsi="宋体" w:eastAsia="宋体" w:cs="宋体"/>
                <w:b w:val="0"/>
                <w:bCs w:val="0"/>
                <w:color w:val="auto"/>
                <w:kern w:val="0"/>
                <w:sz w:val="21"/>
                <w:szCs w:val="21"/>
                <w:highlight w:val="none"/>
                <w:lang w:val="en-GB" w:eastAsia="zh-CN"/>
              </w:rPr>
            </w:pPr>
            <w:r>
              <w:rPr>
                <w:rFonts w:hint="eastAsia" w:ascii="宋体" w:hAnsi="宋体" w:eastAsia="宋体" w:cs="宋体"/>
                <w:b w:val="0"/>
                <w:bCs w:val="0"/>
                <w:color w:val="auto"/>
                <w:kern w:val="0"/>
                <w:sz w:val="21"/>
                <w:szCs w:val="21"/>
                <w:highlight w:val="none"/>
                <w:lang w:val="en-GB" w:eastAsia="zh-CN"/>
              </w:rPr>
              <w:t>合理化建议</w:t>
            </w:r>
          </w:p>
        </w:tc>
        <w:tc>
          <w:tcPr>
            <w:tcW w:w="6662" w:type="dxa"/>
            <w:vAlign w:val="center"/>
          </w:tcPr>
          <w:p w14:paraId="4DD33E7A">
            <w:pPr>
              <w:widowControl/>
              <w:spacing w:line="300" w:lineRule="exact"/>
              <w:ind w:right="248" w:rightChars="6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根据投标人针对本项目提出的合理化建议是否具有切实可行性进行综合评定，由评委进行打分：一档得3分；二档2.5分；三档2分；四档1.5分；五档1分；六档0.5分,未提供得0分。</w:t>
            </w:r>
          </w:p>
        </w:tc>
        <w:tc>
          <w:tcPr>
            <w:tcW w:w="693" w:type="dxa"/>
            <w:vAlign w:val="center"/>
          </w:tcPr>
          <w:p w14:paraId="579EBB60">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bl>
    <w:p w14:paraId="7C313EB2">
      <w:pPr>
        <w:pStyle w:val="33"/>
        <w:rPr>
          <w:color w:val="auto"/>
        </w:rPr>
      </w:pPr>
    </w:p>
    <w:p w14:paraId="430AC576">
      <w:pPr>
        <w:pStyle w:val="37"/>
        <w:rPr>
          <w:rFonts w:eastAsiaTheme="minorEastAsia"/>
          <w:color w:val="auto"/>
          <w:lang w:val="en-US"/>
        </w:rPr>
      </w:pPr>
    </w:p>
    <w:p w14:paraId="63EE0506">
      <w:pPr>
        <w:pStyle w:val="37"/>
        <w:rPr>
          <w:rFonts w:ascii="宋体" w:hAnsi="宋体" w:eastAsia="宋体" w:cs="宋体"/>
          <w:color w:val="auto"/>
          <w:sz w:val="21"/>
          <w:szCs w:val="21"/>
        </w:rPr>
      </w:pPr>
    </w:p>
    <w:bookmarkEnd w:id="48"/>
    <w:p w14:paraId="3C07FA8F">
      <w:pPr>
        <w:autoSpaceDE w:val="0"/>
        <w:autoSpaceDN w:val="0"/>
        <w:adjustRightInd w:val="0"/>
        <w:outlineLvl w:val="0"/>
        <w:rPr>
          <w:rFonts w:ascii="宋体" w:hAnsi="宋体" w:eastAsia="宋体" w:cs="宋体"/>
          <w:b/>
          <w:color w:val="auto"/>
          <w:sz w:val="28"/>
          <w:szCs w:val="28"/>
        </w:rPr>
      </w:pPr>
      <w:bookmarkStart w:id="49" w:name="_Toc306901461"/>
    </w:p>
    <w:p w14:paraId="12E4651E">
      <w:pPr>
        <w:autoSpaceDE w:val="0"/>
        <w:autoSpaceDN w:val="0"/>
        <w:adjustRightInd w:val="0"/>
        <w:outlineLvl w:val="0"/>
        <w:rPr>
          <w:rFonts w:ascii="宋体" w:hAnsi="宋体" w:eastAsia="宋体" w:cs="宋体"/>
          <w:b/>
          <w:color w:val="auto"/>
          <w:sz w:val="28"/>
          <w:szCs w:val="28"/>
        </w:rPr>
      </w:pPr>
    </w:p>
    <w:p w14:paraId="203CA928">
      <w:pPr>
        <w:autoSpaceDE w:val="0"/>
        <w:autoSpaceDN w:val="0"/>
        <w:adjustRightInd w:val="0"/>
        <w:outlineLvl w:val="0"/>
        <w:rPr>
          <w:rFonts w:ascii="宋体" w:hAnsi="宋体" w:eastAsia="宋体" w:cs="宋体"/>
          <w:b/>
          <w:color w:val="auto"/>
          <w:sz w:val="28"/>
          <w:szCs w:val="28"/>
        </w:rPr>
      </w:pPr>
    </w:p>
    <w:p w14:paraId="245CDB41">
      <w:pPr>
        <w:autoSpaceDE w:val="0"/>
        <w:autoSpaceDN w:val="0"/>
        <w:adjustRightInd w:val="0"/>
        <w:outlineLvl w:val="0"/>
        <w:rPr>
          <w:rFonts w:ascii="宋体" w:hAnsi="宋体" w:eastAsia="宋体" w:cs="宋体"/>
          <w:b/>
          <w:color w:val="auto"/>
          <w:sz w:val="28"/>
          <w:szCs w:val="28"/>
        </w:rPr>
      </w:pPr>
    </w:p>
    <w:p w14:paraId="5D428161">
      <w:pPr>
        <w:autoSpaceDE w:val="0"/>
        <w:autoSpaceDN w:val="0"/>
        <w:adjustRightInd w:val="0"/>
        <w:outlineLvl w:val="0"/>
        <w:rPr>
          <w:rFonts w:ascii="宋体" w:hAnsi="宋体" w:eastAsia="宋体" w:cs="宋体"/>
          <w:b/>
          <w:color w:val="auto"/>
          <w:sz w:val="28"/>
          <w:szCs w:val="28"/>
        </w:rPr>
      </w:pPr>
    </w:p>
    <w:p w14:paraId="4ACDEF6C">
      <w:pPr>
        <w:autoSpaceDE w:val="0"/>
        <w:autoSpaceDN w:val="0"/>
        <w:adjustRightInd w:val="0"/>
        <w:outlineLvl w:val="0"/>
        <w:rPr>
          <w:rFonts w:ascii="宋体" w:hAnsi="宋体" w:eastAsia="宋体" w:cs="宋体"/>
          <w:b/>
          <w:color w:val="auto"/>
          <w:sz w:val="28"/>
          <w:szCs w:val="28"/>
        </w:rPr>
      </w:pPr>
    </w:p>
    <w:p w14:paraId="4AB66DB6">
      <w:pPr>
        <w:autoSpaceDE w:val="0"/>
        <w:autoSpaceDN w:val="0"/>
        <w:adjustRightInd w:val="0"/>
        <w:outlineLvl w:val="0"/>
        <w:rPr>
          <w:rFonts w:ascii="宋体" w:hAnsi="宋体" w:eastAsia="宋体" w:cs="宋体"/>
          <w:b/>
          <w:color w:val="auto"/>
          <w:sz w:val="28"/>
          <w:szCs w:val="28"/>
        </w:rPr>
      </w:pPr>
    </w:p>
    <w:p w14:paraId="193781FC">
      <w:pPr>
        <w:autoSpaceDE w:val="0"/>
        <w:autoSpaceDN w:val="0"/>
        <w:adjustRightInd w:val="0"/>
        <w:outlineLvl w:val="0"/>
        <w:rPr>
          <w:rFonts w:ascii="宋体" w:hAnsi="宋体" w:eastAsia="宋体" w:cs="宋体"/>
          <w:b/>
          <w:color w:val="auto"/>
          <w:sz w:val="28"/>
          <w:szCs w:val="28"/>
        </w:rPr>
      </w:pPr>
    </w:p>
    <w:p w14:paraId="2855A6EC">
      <w:pPr>
        <w:autoSpaceDE w:val="0"/>
        <w:autoSpaceDN w:val="0"/>
        <w:adjustRightInd w:val="0"/>
        <w:outlineLvl w:val="0"/>
        <w:rPr>
          <w:rFonts w:ascii="宋体" w:hAnsi="宋体" w:eastAsia="宋体" w:cs="宋体"/>
          <w:b/>
          <w:color w:val="auto"/>
          <w:sz w:val="28"/>
          <w:szCs w:val="28"/>
        </w:rPr>
      </w:pPr>
    </w:p>
    <w:p w14:paraId="12DEBEBC">
      <w:pPr>
        <w:autoSpaceDE w:val="0"/>
        <w:autoSpaceDN w:val="0"/>
        <w:adjustRightInd w:val="0"/>
        <w:outlineLvl w:val="0"/>
        <w:rPr>
          <w:rFonts w:ascii="宋体" w:hAnsi="宋体" w:eastAsia="宋体" w:cs="宋体"/>
          <w:b/>
          <w:color w:val="auto"/>
          <w:sz w:val="28"/>
          <w:szCs w:val="28"/>
        </w:rPr>
      </w:pPr>
    </w:p>
    <w:p w14:paraId="0C26B33A">
      <w:pPr>
        <w:autoSpaceDE w:val="0"/>
        <w:autoSpaceDN w:val="0"/>
        <w:adjustRightInd w:val="0"/>
        <w:outlineLvl w:val="0"/>
        <w:rPr>
          <w:rFonts w:ascii="宋体" w:hAnsi="宋体" w:eastAsia="宋体" w:cs="宋体"/>
          <w:b/>
          <w:color w:val="auto"/>
          <w:sz w:val="28"/>
          <w:szCs w:val="28"/>
        </w:rPr>
      </w:pPr>
    </w:p>
    <w:p w14:paraId="5501A888">
      <w:pPr>
        <w:autoSpaceDE w:val="0"/>
        <w:autoSpaceDN w:val="0"/>
        <w:adjustRightInd w:val="0"/>
        <w:outlineLvl w:val="0"/>
        <w:rPr>
          <w:rFonts w:ascii="宋体" w:hAnsi="宋体" w:eastAsia="宋体" w:cs="宋体"/>
          <w:b/>
          <w:color w:val="auto"/>
          <w:sz w:val="28"/>
          <w:szCs w:val="28"/>
        </w:rPr>
      </w:pPr>
    </w:p>
    <w:p w14:paraId="39B67FD5">
      <w:pPr>
        <w:autoSpaceDE w:val="0"/>
        <w:autoSpaceDN w:val="0"/>
        <w:adjustRightInd w:val="0"/>
        <w:outlineLvl w:val="0"/>
        <w:rPr>
          <w:rFonts w:ascii="宋体" w:hAnsi="宋体" w:eastAsia="宋体" w:cs="宋体"/>
          <w:b/>
          <w:color w:val="auto"/>
          <w:sz w:val="28"/>
          <w:szCs w:val="28"/>
        </w:rPr>
      </w:pPr>
    </w:p>
    <w:p w14:paraId="2A093689">
      <w:pPr>
        <w:pStyle w:val="33"/>
        <w:rPr>
          <w:rFonts w:ascii="宋体" w:hAnsi="宋体" w:eastAsia="宋体" w:cs="宋体"/>
          <w:b/>
          <w:color w:val="auto"/>
          <w:sz w:val="28"/>
          <w:szCs w:val="28"/>
        </w:rPr>
      </w:pPr>
    </w:p>
    <w:p w14:paraId="4DF3E37B">
      <w:pPr>
        <w:autoSpaceDE w:val="0"/>
        <w:autoSpaceDN w:val="0"/>
        <w:adjustRightInd w:val="0"/>
        <w:jc w:val="center"/>
        <w:outlineLvl w:val="0"/>
        <w:rPr>
          <w:rFonts w:ascii="宋体" w:hAnsi="宋体" w:eastAsia="宋体" w:cs="宋体"/>
          <w:b/>
          <w:color w:val="auto"/>
          <w:sz w:val="28"/>
          <w:szCs w:val="28"/>
        </w:rPr>
      </w:pPr>
      <w:r>
        <w:rPr>
          <w:rFonts w:hint="eastAsia" w:ascii="宋体" w:hAnsi="宋体" w:eastAsia="宋体" w:cs="宋体"/>
          <w:b/>
          <w:color w:val="auto"/>
          <w:sz w:val="28"/>
          <w:szCs w:val="28"/>
        </w:rPr>
        <w:t xml:space="preserve">第五部分 </w:t>
      </w:r>
      <w:bookmarkEnd w:id="49"/>
      <w:r>
        <w:rPr>
          <w:rFonts w:hint="eastAsia" w:ascii="宋体" w:hAnsi="宋体" w:eastAsia="宋体" w:cs="宋体"/>
          <w:b/>
          <w:color w:val="auto"/>
          <w:sz w:val="28"/>
          <w:szCs w:val="28"/>
        </w:rPr>
        <w:t>合同（施工合同）</w:t>
      </w:r>
    </w:p>
    <w:p w14:paraId="3DE47C22">
      <w:pPr>
        <w:spacing w:line="360" w:lineRule="auto"/>
        <w:jc w:val="center"/>
        <w:rPr>
          <w:rFonts w:ascii="宋体" w:hAnsi="宋体" w:eastAsia="宋体" w:cs="宋体"/>
          <w:b/>
          <w:color w:val="auto"/>
          <w:sz w:val="21"/>
          <w:szCs w:val="21"/>
        </w:rPr>
      </w:pPr>
      <w:bookmarkStart w:id="50" w:name="_Toc240724385"/>
      <w:bookmarkStart w:id="51" w:name="_Toc306901462"/>
      <w:r>
        <w:rPr>
          <w:rFonts w:hint="eastAsia" w:ascii="宋体" w:hAnsi="宋体" w:eastAsia="宋体" w:cs="宋体"/>
          <w:b/>
          <w:color w:val="auto"/>
          <w:sz w:val="21"/>
          <w:szCs w:val="21"/>
        </w:rPr>
        <w:t>第一部分 协议书</w:t>
      </w:r>
    </w:p>
    <w:p w14:paraId="65DAFAC5">
      <w:pPr>
        <w:spacing w:line="360" w:lineRule="auto"/>
        <w:rPr>
          <w:rFonts w:hint="eastAsia" w:ascii="宋体" w:hAnsi="宋体" w:eastAsia="宋体" w:cs="宋体"/>
          <w:b/>
          <w:color w:val="auto"/>
          <w:sz w:val="21"/>
          <w:szCs w:val="21"/>
          <w:u w:val="single"/>
          <w:lang w:eastAsia="zh-CN"/>
        </w:rPr>
      </w:pPr>
      <w:r>
        <w:rPr>
          <w:rFonts w:hint="eastAsia" w:ascii="宋体" w:hAnsi="宋体" w:eastAsia="宋体" w:cs="宋体"/>
          <w:b/>
          <w:color w:val="auto"/>
          <w:sz w:val="21"/>
          <w:szCs w:val="21"/>
        </w:rPr>
        <w:t>发包人（甲方）：</w:t>
      </w:r>
      <w:r>
        <w:rPr>
          <w:rFonts w:hint="eastAsia" w:ascii="宋体" w:hAnsi="宋体" w:eastAsia="宋体" w:cs="宋体"/>
          <w:b/>
          <w:color w:val="auto"/>
          <w:sz w:val="21"/>
          <w:szCs w:val="21"/>
          <w:u w:val="single"/>
          <w:lang w:eastAsia="zh-CN"/>
        </w:rPr>
        <w:t>台州市黄岩区人民政府北城街道办事处</w:t>
      </w:r>
    </w:p>
    <w:p w14:paraId="63225EC8">
      <w:pPr>
        <w:spacing w:line="360" w:lineRule="auto"/>
        <w:rPr>
          <w:rFonts w:ascii="宋体" w:hAnsi="宋体" w:eastAsia="宋体" w:cs="宋体"/>
          <w:b/>
          <w:color w:val="auto"/>
          <w:sz w:val="21"/>
          <w:szCs w:val="21"/>
          <w:u w:val="single"/>
        </w:rPr>
      </w:pPr>
      <w:r>
        <w:rPr>
          <w:rFonts w:hint="eastAsia" w:ascii="宋体" w:hAnsi="宋体" w:eastAsia="宋体" w:cs="宋体"/>
          <w:b/>
          <w:color w:val="auto"/>
          <w:sz w:val="21"/>
          <w:szCs w:val="21"/>
        </w:rPr>
        <w:t>承包人（乙方）：</w:t>
      </w:r>
    </w:p>
    <w:p w14:paraId="30001F3F">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根据《中华人民共和国民法典》第三编合同法、《中华人民共和国建筑法》及有关法律规定，遵循平等、自愿、公平和诚实信用的原则，经通过</w:t>
      </w:r>
      <w:r>
        <w:rPr>
          <w:rFonts w:hint="eastAsia" w:ascii="宋体" w:hAnsi="宋体" w:eastAsia="宋体" w:cs="宋体"/>
          <w:b/>
          <w:color w:val="auto"/>
          <w:sz w:val="21"/>
          <w:szCs w:val="21"/>
          <w:u w:val="single"/>
        </w:rPr>
        <w:t>竞争性磋商方式</w:t>
      </w:r>
      <w:r>
        <w:rPr>
          <w:rFonts w:hint="eastAsia" w:ascii="宋体" w:hAnsi="宋体" w:eastAsia="宋体" w:cs="宋体"/>
          <w:color w:val="auto"/>
          <w:sz w:val="21"/>
          <w:szCs w:val="21"/>
        </w:rPr>
        <w:t>确定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为本工程施工合同的承包人</w:t>
      </w:r>
      <w:r>
        <w:rPr>
          <w:rFonts w:hint="eastAsia" w:ascii="宋体" w:hAnsi="宋体" w:eastAsia="宋体" w:cs="宋体"/>
          <w:b/>
          <w:color w:val="auto"/>
          <w:sz w:val="21"/>
          <w:szCs w:val="21"/>
        </w:rPr>
        <w:t>，</w:t>
      </w:r>
      <w:r>
        <w:rPr>
          <w:rFonts w:hint="eastAsia" w:ascii="宋体" w:hAnsi="宋体" w:eastAsia="宋体" w:cs="宋体"/>
          <w:color w:val="auto"/>
          <w:sz w:val="21"/>
          <w:szCs w:val="21"/>
        </w:rPr>
        <w:t>双方就此工程施工及有关事项协商一致，共同达成如下协议：</w:t>
      </w:r>
    </w:p>
    <w:p w14:paraId="6ADEF1D4">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一、工程概况</w:t>
      </w:r>
    </w:p>
    <w:p w14:paraId="0BDCF16F">
      <w:pPr>
        <w:spacing w:line="360" w:lineRule="auto"/>
        <w:ind w:firstLine="411" w:firstLineChars="196"/>
        <w:rPr>
          <w:rFonts w:hint="eastAsia" w:ascii="宋体" w:hAnsi="宋体" w:eastAsia="宋体" w:cs="宋体"/>
          <w:color w:val="auto"/>
          <w:sz w:val="21"/>
          <w:szCs w:val="21"/>
          <w:u w:val="single"/>
          <w:lang w:eastAsia="zh-CN"/>
        </w:rPr>
      </w:pPr>
      <w:r>
        <w:rPr>
          <w:rFonts w:hint="eastAsia" w:ascii="宋体" w:hAnsi="宋体" w:eastAsia="宋体" w:cs="宋体"/>
          <w:bCs/>
          <w:color w:val="auto"/>
          <w:sz w:val="21"/>
          <w:szCs w:val="21"/>
        </w:rPr>
        <w:t>1.工程名称</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北城办事处改造工程</w:t>
      </w:r>
    </w:p>
    <w:p w14:paraId="428A0524">
      <w:pPr>
        <w:spacing w:line="360" w:lineRule="auto"/>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2.工程地点：</w:t>
      </w:r>
      <w:r>
        <w:rPr>
          <w:rFonts w:hint="eastAsia" w:ascii="宋体" w:hAnsi="宋体" w:eastAsia="宋体" w:cs="宋体"/>
          <w:bCs/>
          <w:color w:val="auto"/>
          <w:sz w:val="21"/>
          <w:szCs w:val="21"/>
          <w:lang w:eastAsia="zh-CN"/>
        </w:rPr>
        <w:t>黄岩区北城街道</w:t>
      </w:r>
    </w:p>
    <w:p w14:paraId="0092E7B3">
      <w:pPr>
        <w:spacing w:line="360" w:lineRule="auto"/>
        <w:ind w:firstLine="411" w:firstLineChars="196"/>
        <w:rPr>
          <w:rFonts w:ascii="宋体" w:hAnsi="宋体" w:eastAsia="宋体" w:cs="宋体"/>
          <w:color w:val="auto"/>
          <w:sz w:val="21"/>
          <w:szCs w:val="21"/>
          <w:u w:val="single"/>
        </w:rPr>
      </w:pPr>
      <w:r>
        <w:rPr>
          <w:rFonts w:hint="eastAsia" w:ascii="宋体" w:hAnsi="宋体" w:eastAsia="宋体" w:cs="宋体"/>
          <w:bCs/>
          <w:color w:val="auto"/>
          <w:sz w:val="21"/>
          <w:szCs w:val="21"/>
        </w:rPr>
        <w:t>3.工程立项批准文号：</w:t>
      </w:r>
      <w:r>
        <w:rPr>
          <w:rFonts w:hint="eastAsia" w:ascii="宋体" w:hAnsi="宋体" w:eastAsia="宋体" w:cs="宋体"/>
          <w:color w:val="auto"/>
          <w:sz w:val="21"/>
          <w:szCs w:val="21"/>
          <w:u w:val="single"/>
        </w:rPr>
        <w:t xml:space="preserve">          /     </w:t>
      </w:r>
    </w:p>
    <w:p w14:paraId="1623DF19">
      <w:pPr>
        <w:spacing w:line="360" w:lineRule="auto"/>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4.资金来源：</w:t>
      </w:r>
      <w:r>
        <w:rPr>
          <w:rFonts w:hint="eastAsia" w:ascii="宋体" w:hAnsi="宋体" w:eastAsia="宋体" w:cs="宋体"/>
          <w:color w:val="auto"/>
          <w:sz w:val="21"/>
          <w:szCs w:val="21"/>
          <w:u w:val="single"/>
          <w:lang w:eastAsia="zh-CN"/>
        </w:rPr>
        <w:t>财政</w:t>
      </w:r>
    </w:p>
    <w:p w14:paraId="35F3BB6B">
      <w:pPr>
        <w:spacing w:line="360" w:lineRule="auto"/>
        <w:ind w:firstLine="411" w:firstLineChars="196"/>
        <w:rPr>
          <w:rFonts w:ascii="宋体" w:hAnsi="宋体" w:eastAsia="宋体" w:cs="宋体"/>
          <w:bCs/>
          <w:color w:val="auto"/>
          <w:sz w:val="21"/>
          <w:szCs w:val="21"/>
        </w:rPr>
      </w:pPr>
      <w:r>
        <w:rPr>
          <w:rFonts w:hint="eastAsia" w:ascii="宋体" w:hAnsi="宋体" w:eastAsia="宋体" w:cs="宋体"/>
          <w:bCs/>
          <w:color w:val="auto"/>
          <w:sz w:val="21"/>
          <w:szCs w:val="21"/>
        </w:rPr>
        <w:t>5.工程内容：</w:t>
      </w:r>
      <w:r>
        <w:rPr>
          <w:rFonts w:hint="eastAsia" w:ascii="宋体" w:hAnsi="宋体" w:eastAsia="宋体" w:cs="宋体"/>
          <w:bCs/>
          <w:color w:val="auto"/>
          <w:sz w:val="21"/>
          <w:szCs w:val="21"/>
          <w:u w:val="single"/>
        </w:rPr>
        <w:t>报价明细表范围内工程</w:t>
      </w:r>
    </w:p>
    <w:p w14:paraId="700D43DE">
      <w:pPr>
        <w:spacing w:line="360" w:lineRule="auto"/>
        <w:ind w:firstLine="411" w:firstLineChars="196"/>
        <w:rPr>
          <w:rFonts w:ascii="宋体" w:hAnsi="宋体" w:eastAsia="宋体" w:cs="宋体"/>
          <w:bCs/>
          <w:color w:val="auto"/>
          <w:sz w:val="21"/>
          <w:szCs w:val="21"/>
          <w:u w:val="single"/>
        </w:rPr>
      </w:pPr>
      <w:r>
        <w:rPr>
          <w:rFonts w:hint="eastAsia" w:ascii="宋体" w:hAnsi="宋体" w:eastAsia="宋体" w:cs="宋体"/>
          <w:bCs/>
          <w:color w:val="auto"/>
          <w:sz w:val="21"/>
          <w:szCs w:val="21"/>
        </w:rPr>
        <w:t>6.工程承包范围：</w:t>
      </w:r>
      <w:r>
        <w:rPr>
          <w:rFonts w:hint="eastAsia" w:ascii="宋体" w:hAnsi="宋体" w:eastAsia="宋体" w:cs="宋体"/>
          <w:bCs/>
          <w:color w:val="auto"/>
          <w:sz w:val="21"/>
          <w:szCs w:val="21"/>
          <w:u w:val="single"/>
        </w:rPr>
        <w:t>报价明细表范围包工包料</w:t>
      </w:r>
    </w:p>
    <w:p w14:paraId="256250CE">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二、合同工期</w:t>
      </w:r>
    </w:p>
    <w:p w14:paraId="02759DCE">
      <w:pPr>
        <w:spacing w:line="360" w:lineRule="auto"/>
        <w:ind w:firstLine="459"/>
        <w:rPr>
          <w:rFonts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rPr>
        <w:t>日</w:t>
      </w:r>
      <w:r>
        <w:rPr>
          <w:rFonts w:hint="eastAsia" w:ascii="宋体" w:hAnsi="宋体" w:eastAsia="宋体" w:cs="宋体"/>
          <w:color w:val="auto"/>
          <w:sz w:val="21"/>
          <w:szCs w:val="21"/>
        </w:rPr>
        <w:t>。</w:t>
      </w:r>
    </w:p>
    <w:p w14:paraId="772C82D7">
      <w:pPr>
        <w:spacing w:line="360" w:lineRule="auto"/>
        <w:ind w:firstLine="459"/>
        <w:rPr>
          <w:rFonts w:ascii="宋体" w:hAnsi="宋体" w:eastAsia="宋体" w:cs="宋体"/>
          <w:color w:val="auto"/>
          <w:sz w:val="21"/>
          <w:szCs w:val="21"/>
        </w:rPr>
      </w:pPr>
      <w:r>
        <w:rPr>
          <w:rFonts w:hint="eastAsia" w:ascii="宋体" w:hAnsi="宋体" w:eastAsia="宋体" w:cs="宋体"/>
          <w:color w:val="auto"/>
          <w:sz w:val="21"/>
          <w:szCs w:val="21"/>
        </w:rPr>
        <w:t>计划竣工日期：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p>
    <w:p w14:paraId="55D240DE">
      <w:pPr>
        <w:spacing w:line="360" w:lineRule="auto"/>
        <w:ind w:firstLine="459"/>
        <w:rPr>
          <w:rFonts w:ascii="宋体" w:hAnsi="宋体" w:eastAsia="宋体" w:cs="宋体"/>
          <w:color w:val="auto"/>
          <w:sz w:val="21"/>
          <w:szCs w:val="21"/>
        </w:rPr>
      </w:pPr>
      <w:r>
        <w:rPr>
          <w:rFonts w:hint="eastAsia" w:ascii="宋体" w:hAnsi="宋体" w:eastAsia="宋体" w:cs="宋体"/>
          <w:color w:val="auto"/>
          <w:sz w:val="21"/>
          <w:szCs w:val="21"/>
        </w:rPr>
        <w:t>工期总日历天数：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天，自发包人通知开工之日起算。工期总日历天数与根据前述计划开竣工日期计算的工期天数不一致的，以工期总日历天数为准。</w:t>
      </w:r>
    </w:p>
    <w:p w14:paraId="68960D5D">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三、质量标准</w:t>
      </w:r>
    </w:p>
    <w:p w14:paraId="48CD128F">
      <w:pPr>
        <w:spacing w:line="360" w:lineRule="auto"/>
        <w:ind w:firstLine="459"/>
        <w:rPr>
          <w:rFonts w:ascii="宋体" w:hAnsi="宋体" w:eastAsia="宋体" w:cs="宋体"/>
          <w:color w:val="auto"/>
          <w:sz w:val="21"/>
          <w:szCs w:val="21"/>
        </w:rPr>
      </w:pPr>
      <w:r>
        <w:rPr>
          <w:rFonts w:hint="eastAsia" w:ascii="宋体" w:hAnsi="宋体" w:eastAsia="宋体" w:cs="宋体"/>
          <w:color w:val="auto"/>
          <w:sz w:val="21"/>
          <w:szCs w:val="21"/>
        </w:rPr>
        <w:t>工程质量符合</w:t>
      </w:r>
      <w:r>
        <w:rPr>
          <w:rFonts w:hint="eastAsia" w:ascii="宋体" w:hAnsi="宋体" w:eastAsia="宋体" w:cs="宋体"/>
          <w:color w:val="auto"/>
          <w:sz w:val="21"/>
          <w:szCs w:val="21"/>
          <w:u w:val="single"/>
        </w:rPr>
        <w:t xml:space="preserve"> 国家施工验收规范合格 </w:t>
      </w:r>
      <w:r>
        <w:rPr>
          <w:rFonts w:hint="eastAsia" w:ascii="宋体" w:hAnsi="宋体" w:eastAsia="宋体" w:cs="宋体"/>
          <w:color w:val="auto"/>
          <w:sz w:val="21"/>
          <w:szCs w:val="21"/>
        </w:rPr>
        <w:t>标准。</w:t>
      </w:r>
    </w:p>
    <w:p w14:paraId="4ADC015D">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四、签约合同价与合同价格形式</w:t>
      </w:r>
    </w:p>
    <w:p w14:paraId="0929C68B">
      <w:pPr>
        <w:pStyle w:val="23"/>
        <w:spacing w:beforeAutospacing="0" w:afterAutospacing="0" w:line="360" w:lineRule="auto"/>
        <w:ind w:firstLine="420" w:firstLineChars="200"/>
        <w:jc w:val="both"/>
        <w:rPr>
          <w:rFonts w:hint="default" w:eastAsia="宋体" w:cs="宋体"/>
          <w:color w:val="auto"/>
          <w:sz w:val="21"/>
          <w:szCs w:val="21"/>
        </w:rPr>
      </w:pPr>
      <w:r>
        <w:rPr>
          <w:rFonts w:eastAsia="宋体" w:cs="宋体"/>
          <w:color w:val="auto"/>
          <w:sz w:val="21"/>
          <w:szCs w:val="21"/>
        </w:rPr>
        <w:t>1.暂定合同总价为：人民币（大写）</w:t>
      </w:r>
      <w:r>
        <w:rPr>
          <w:rFonts w:hint="eastAsia" w:eastAsia="宋体" w:cs="宋体"/>
          <w:color w:val="auto"/>
          <w:sz w:val="21"/>
          <w:szCs w:val="21"/>
          <w:u w:val="single"/>
          <w:lang w:val="en-US" w:eastAsia="zh-CN"/>
        </w:rPr>
        <w:t xml:space="preserve">                  </w:t>
      </w:r>
      <w:r>
        <w:rPr>
          <w:rFonts w:hint="eastAsia" w:eastAsia="宋体" w:cs="宋体"/>
          <w:color w:val="auto"/>
          <w:sz w:val="21"/>
          <w:szCs w:val="21"/>
          <w:lang w:val="en-US" w:eastAsia="zh-CN"/>
        </w:rPr>
        <w:t xml:space="preserve"> </w:t>
      </w:r>
      <w:r>
        <w:rPr>
          <w:rFonts w:eastAsia="宋体" w:cs="宋体"/>
          <w:b/>
          <w:color w:val="auto"/>
          <w:sz w:val="21"/>
          <w:szCs w:val="21"/>
          <w:u w:val="single"/>
        </w:rPr>
        <w:t xml:space="preserve">整 </w:t>
      </w:r>
      <w:r>
        <w:rPr>
          <w:rFonts w:eastAsia="宋体" w:cs="宋体"/>
          <w:color w:val="auto"/>
          <w:sz w:val="21"/>
          <w:szCs w:val="21"/>
        </w:rPr>
        <w:t>(¥</w:t>
      </w:r>
      <w:r>
        <w:rPr>
          <w:rFonts w:hint="eastAsia" w:eastAsia="宋体" w:cs="宋体"/>
          <w:color w:val="auto"/>
          <w:sz w:val="21"/>
          <w:szCs w:val="21"/>
          <w:u w:val="single"/>
          <w:lang w:val="en-US" w:eastAsia="zh-CN"/>
        </w:rPr>
        <w:t xml:space="preserve">         </w:t>
      </w:r>
      <w:r>
        <w:rPr>
          <w:rFonts w:eastAsia="宋体" w:cs="宋体"/>
          <w:color w:val="auto"/>
          <w:sz w:val="21"/>
          <w:szCs w:val="21"/>
        </w:rPr>
        <w:t>元)；</w:t>
      </w:r>
    </w:p>
    <w:p w14:paraId="6E1B7F4F">
      <w:pPr>
        <w:spacing w:line="360" w:lineRule="auto"/>
        <w:ind w:firstLine="420" w:firstLineChars="200"/>
        <w:rPr>
          <w:rFonts w:ascii="宋体" w:hAnsi="宋体" w:eastAsia="宋体" w:cs="宋体"/>
          <w:b/>
          <w:color w:val="auto"/>
          <w:sz w:val="21"/>
          <w:szCs w:val="21"/>
          <w:u w:val="single"/>
        </w:rPr>
      </w:pPr>
      <w:r>
        <w:rPr>
          <w:rFonts w:hint="eastAsia" w:ascii="宋体" w:hAnsi="宋体" w:eastAsia="宋体" w:cs="宋体"/>
          <w:color w:val="auto"/>
          <w:sz w:val="21"/>
          <w:szCs w:val="21"/>
        </w:rPr>
        <w:t>2.合同价格形式：</w:t>
      </w:r>
      <w:r>
        <w:rPr>
          <w:rFonts w:hint="eastAsia" w:ascii="宋体" w:hAnsi="宋体" w:eastAsia="宋体" w:cs="宋体"/>
          <w:b/>
          <w:color w:val="auto"/>
          <w:sz w:val="21"/>
          <w:szCs w:val="21"/>
          <w:u w:val="single"/>
        </w:rPr>
        <w:t xml:space="preserve">固定综合单价、工程量按实结算 </w:t>
      </w:r>
    </w:p>
    <w:p w14:paraId="301D365B">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五、项目经理</w:t>
      </w:r>
    </w:p>
    <w:p w14:paraId="3E567C6F">
      <w:pPr>
        <w:spacing w:line="360" w:lineRule="auto"/>
        <w:ind w:firstLine="420" w:firstLineChars="200"/>
        <w:rPr>
          <w:rFonts w:ascii="宋体" w:hAnsi="宋体" w:eastAsia="宋体" w:cs="宋体"/>
          <w:bCs/>
          <w:color w:val="auto"/>
          <w:sz w:val="21"/>
          <w:szCs w:val="21"/>
          <w:u w:val="single"/>
        </w:rPr>
      </w:pPr>
      <w:r>
        <w:rPr>
          <w:rFonts w:hint="eastAsia" w:ascii="宋体" w:hAnsi="宋体" w:eastAsia="宋体" w:cs="宋体"/>
          <w:color w:val="auto"/>
          <w:sz w:val="21"/>
          <w:szCs w:val="21"/>
        </w:rPr>
        <w:t>承包人项目经理：</w:t>
      </w:r>
    </w:p>
    <w:p w14:paraId="303EDB8A">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六、合同文件构成</w:t>
      </w:r>
    </w:p>
    <w:p w14:paraId="2EFF722B">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本协议书与下列文件一起构成合同文件：（1）协议书；（2）</w:t>
      </w:r>
      <w:r>
        <w:rPr>
          <w:rFonts w:hint="eastAsia" w:ascii="宋体" w:hAnsi="宋体" w:eastAsia="宋体" w:cs="宋体"/>
          <w:bCs/>
          <w:color w:val="auto"/>
          <w:sz w:val="21"/>
          <w:szCs w:val="21"/>
          <w:lang w:eastAsia="zh-CN"/>
        </w:rPr>
        <w:t>成交</w:t>
      </w:r>
      <w:r>
        <w:rPr>
          <w:rFonts w:hint="eastAsia" w:ascii="宋体" w:hAnsi="宋体" w:eastAsia="宋体" w:cs="宋体"/>
          <w:bCs/>
          <w:color w:val="auto"/>
          <w:sz w:val="21"/>
          <w:szCs w:val="21"/>
        </w:rPr>
        <w:t>通知书；（3）磋商响应文件及其附件（含报价明细表）；（4）专用合同条款及其附件；（5）磋商文件及磋商补充文件；（6）图纸；（7）标准、规范及有关技术文件；（8）工程质量保修书；（9）通用合同条款；（10）其他合同文件。</w:t>
      </w:r>
    </w:p>
    <w:p w14:paraId="145D8AA9">
      <w:pPr>
        <w:autoSpaceDE w:val="0"/>
        <w:autoSpaceDN w:val="0"/>
        <w:adjustRightIn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w:t>
      </w:r>
    </w:p>
    <w:p w14:paraId="1F0F52B8">
      <w:pPr>
        <w:autoSpaceDE w:val="0"/>
        <w:autoSpaceDN w:val="0"/>
        <w:adjustRightIn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上述各项合同文件包括合同当事人就该项合同文件所作出的补充和变更，属于同一类内容的文件，应以最新签署的为准。各项文件及其附件须经合同当事人签字和盖章。</w:t>
      </w:r>
    </w:p>
    <w:p w14:paraId="03615009">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七、承诺</w:t>
      </w:r>
    </w:p>
    <w:p w14:paraId="165D7511">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1.发包人承诺按照法律规定履行项目审批手续、筹集工程建设资金并按照合同约定的期限和方式支付合同价款。</w:t>
      </w:r>
    </w:p>
    <w:p w14:paraId="56C422EB">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2.承包人承诺按照法律规定及合同约定组织完成工程施工，确保工程质量和安全，不进行转包及违法分包，并在缺陷责任期及保修期内承担相应的工程维修责任。</w:t>
      </w:r>
    </w:p>
    <w:p w14:paraId="150A6979">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3.发包人和承包人通过招投标形式签订合同的，双方理解并承诺不再就同一工程另行签订与合同实质性内容相背离的协议。</w:t>
      </w:r>
    </w:p>
    <w:p w14:paraId="73C0942F">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八、词语含义：本协议书中词语含义与第二部分通用合同条款中赋予的含义相同。</w:t>
      </w:r>
    </w:p>
    <w:p w14:paraId="18C5AFA4">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九、签订时间：本合同于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r>
        <w:rPr>
          <w:rFonts w:hint="eastAsia" w:ascii="宋体" w:hAnsi="宋体" w:eastAsia="宋体" w:cs="宋体"/>
          <w:bCs/>
          <w:color w:val="auto"/>
          <w:sz w:val="21"/>
          <w:szCs w:val="21"/>
        </w:rPr>
        <w:t>签订。</w:t>
      </w:r>
    </w:p>
    <w:p w14:paraId="07A09B64">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十、签订地点：本合同在签订。</w:t>
      </w:r>
    </w:p>
    <w:p w14:paraId="02024544">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十一、补充协议：本合同未尽事宜，由双方另行签订补充协议，补充协议是合同的组成部分。</w:t>
      </w:r>
    </w:p>
    <w:p w14:paraId="00C565A7">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十二、合同生效：本合同经</w:t>
      </w:r>
      <w:r>
        <w:rPr>
          <w:rFonts w:hint="eastAsia" w:ascii="宋体" w:hAnsi="宋体" w:eastAsia="宋体" w:cs="宋体"/>
          <w:bCs/>
          <w:color w:val="auto"/>
          <w:sz w:val="21"/>
          <w:szCs w:val="21"/>
          <w:u w:val="single"/>
        </w:rPr>
        <w:t xml:space="preserve"> 双方签字、盖章后 </w:t>
      </w:r>
      <w:r>
        <w:rPr>
          <w:rFonts w:hint="eastAsia" w:ascii="宋体" w:hAnsi="宋体" w:eastAsia="宋体" w:cs="宋体"/>
          <w:bCs/>
          <w:color w:val="auto"/>
          <w:sz w:val="21"/>
          <w:szCs w:val="21"/>
        </w:rPr>
        <w:t>生效。</w:t>
      </w:r>
    </w:p>
    <w:p w14:paraId="1896B386">
      <w:pPr>
        <w:spacing w:line="360" w:lineRule="auto"/>
        <w:rPr>
          <w:rFonts w:ascii="宋体" w:hAnsi="宋体" w:eastAsia="宋体" w:cs="宋体"/>
          <w:color w:val="auto"/>
          <w:sz w:val="21"/>
          <w:szCs w:val="21"/>
        </w:rPr>
      </w:pPr>
      <w:r>
        <w:rPr>
          <w:rFonts w:hint="eastAsia" w:ascii="宋体" w:hAnsi="宋体" w:eastAsia="宋体" w:cs="宋体"/>
          <w:bCs/>
          <w:color w:val="auto"/>
          <w:sz w:val="21"/>
          <w:szCs w:val="21"/>
        </w:rPr>
        <w:t>十三、合同份数：本合同一式</w:t>
      </w:r>
      <w:r>
        <w:rPr>
          <w:rFonts w:hint="eastAsia" w:ascii="宋体" w:hAnsi="宋体" w:eastAsia="宋体" w:cs="宋体"/>
          <w:bCs/>
          <w:color w:val="auto"/>
          <w:sz w:val="21"/>
          <w:szCs w:val="21"/>
          <w:u w:val="single"/>
        </w:rPr>
        <w:t xml:space="preserve"> 捌 </w:t>
      </w:r>
      <w:r>
        <w:rPr>
          <w:rFonts w:hint="eastAsia" w:ascii="宋体" w:hAnsi="宋体" w:eastAsia="宋体" w:cs="宋体"/>
          <w:bCs/>
          <w:color w:val="auto"/>
          <w:sz w:val="21"/>
          <w:szCs w:val="21"/>
        </w:rPr>
        <w:t>份，均具有同等法律效力，发包人执</w:t>
      </w:r>
      <w:r>
        <w:rPr>
          <w:rFonts w:hint="eastAsia" w:ascii="宋体" w:hAnsi="宋体" w:eastAsia="宋体" w:cs="宋体"/>
          <w:bCs/>
          <w:color w:val="auto"/>
          <w:sz w:val="21"/>
          <w:szCs w:val="21"/>
          <w:u w:val="single"/>
          <w:lang w:eastAsia="zh-CN"/>
        </w:rPr>
        <w:t>肆</w:t>
      </w:r>
      <w:r>
        <w:rPr>
          <w:rFonts w:hint="eastAsia" w:ascii="宋体" w:hAnsi="宋体" w:eastAsia="宋体" w:cs="宋体"/>
          <w:bCs/>
          <w:color w:val="auto"/>
          <w:sz w:val="21"/>
          <w:szCs w:val="21"/>
        </w:rPr>
        <w:t>份，承包人执</w:t>
      </w:r>
      <w:r>
        <w:rPr>
          <w:rFonts w:hint="eastAsia" w:ascii="宋体" w:hAnsi="宋体" w:eastAsia="宋体" w:cs="宋体"/>
          <w:bCs/>
          <w:color w:val="auto"/>
          <w:sz w:val="21"/>
          <w:szCs w:val="21"/>
          <w:u w:val="single"/>
          <w:lang w:eastAsia="zh-CN"/>
        </w:rPr>
        <w:t>肆</w:t>
      </w:r>
      <w:r>
        <w:rPr>
          <w:rFonts w:hint="eastAsia" w:ascii="宋体" w:hAnsi="宋体" w:eastAsia="宋体" w:cs="宋体"/>
          <w:bCs/>
          <w:color w:val="auto"/>
          <w:sz w:val="21"/>
          <w:szCs w:val="21"/>
        </w:rPr>
        <w:t>份。</w:t>
      </w:r>
    </w:p>
    <w:p w14:paraId="42D71983">
      <w:pPr>
        <w:spacing w:line="360" w:lineRule="auto"/>
        <w:rPr>
          <w:rFonts w:ascii="宋体" w:hAnsi="宋体" w:eastAsia="宋体" w:cs="宋体"/>
          <w:color w:val="auto"/>
          <w:sz w:val="21"/>
          <w:szCs w:val="21"/>
        </w:rPr>
      </w:pPr>
    </w:p>
    <w:p w14:paraId="48E1E0C7">
      <w:pPr>
        <w:adjustRightInd w:val="0"/>
        <w:snapToGrid w:val="0"/>
        <w:spacing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 xml:space="preserve">发包人：  (公章)                    承包人：  (公章)                             </w:t>
      </w:r>
    </w:p>
    <w:p w14:paraId="502890D3">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法定代表人或其委托代理人：          法定代表人或其委托代理人：</w:t>
      </w:r>
    </w:p>
    <w:p w14:paraId="6808C8C0">
      <w:pPr>
        <w:adjustRightInd w:val="0"/>
        <w:snapToGrid w:val="0"/>
        <w:spacing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（签字）                           （签字）</w:t>
      </w:r>
    </w:p>
    <w:p w14:paraId="7159624B">
      <w:pPr>
        <w:tabs>
          <w:tab w:val="left" w:pos="4410"/>
        </w:tabs>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eastAsia="zh-CN"/>
        </w:rPr>
        <w:t>社会统一信用代码</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社会统一信用代码</w:t>
      </w:r>
      <w:r>
        <w:rPr>
          <w:rFonts w:hint="eastAsia" w:ascii="宋体" w:hAnsi="宋体" w:eastAsia="宋体" w:cs="宋体"/>
          <w:color w:val="auto"/>
          <w:sz w:val="21"/>
          <w:szCs w:val="21"/>
        </w:rPr>
        <w:t>：</w:t>
      </w:r>
    </w:p>
    <w:p w14:paraId="7653C602">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地  址：                            地  址：</w:t>
      </w:r>
    </w:p>
    <w:p w14:paraId="5B512F70">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邮政编码：                          邮政编码：</w:t>
      </w:r>
    </w:p>
    <w:p w14:paraId="1ABC6F3F">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  话：                            电  话：</w:t>
      </w:r>
    </w:p>
    <w:p w14:paraId="1B6B4D27">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传  真：                            传  真：</w:t>
      </w:r>
    </w:p>
    <w:p w14:paraId="5F92AF8E">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                          电子信箱：</w:t>
      </w:r>
    </w:p>
    <w:p w14:paraId="79D88A45">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开户银行：                          开户银行：</w:t>
      </w:r>
    </w:p>
    <w:p w14:paraId="120C5432">
      <w:pPr>
        <w:adjustRightInd w:val="0"/>
        <w:snapToGrid w:val="0"/>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账  号：                            账  号：</w:t>
      </w:r>
    </w:p>
    <w:p w14:paraId="23AC4A50">
      <w:pPr>
        <w:spacing w:line="360" w:lineRule="auto"/>
        <w:rPr>
          <w:rFonts w:ascii="宋体" w:hAnsi="宋体" w:eastAsia="宋体" w:cs="宋体"/>
          <w:color w:val="auto"/>
          <w:sz w:val="21"/>
          <w:szCs w:val="21"/>
          <w:u w:val="single"/>
        </w:rPr>
      </w:pPr>
    </w:p>
    <w:p w14:paraId="1D644D6D">
      <w:pPr>
        <w:spacing w:line="360" w:lineRule="auto"/>
        <w:jc w:val="center"/>
        <w:rPr>
          <w:rFonts w:ascii="宋体" w:hAnsi="宋体" w:eastAsia="宋体" w:cs="宋体"/>
          <w:b/>
          <w:color w:val="auto"/>
          <w:sz w:val="21"/>
          <w:szCs w:val="21"/>
        </w:rPr>
      </w:pPr>
      <w:r>
        <w:rPr>
          <w:rFonts w:hint="eastAsia" w:ascii="宋体" w:hAnsi="宋体" w:eastAsia="宋体" w:cs="宋体"/>
          <w:color w:val="auto"/>
          <w:sz w:val="21"/>
          <w:szCs w:val="21"/>
        </w:rPr>
        <w:br w:type="page"/>
      </w:r>
      <w:r>
        <w:rPr>
          <w:rFonts w:hint="eastAsia" w:ascii="宋体" w:hAnsi="宋体" w:eastAsia="宋体" w:cs="宋体"/>
          <w:b/>
          <w:color w:val="auto"/>
          <w:sz w:val="21"/>
          <w:szCs w:val="21"/>
        </w:rPr>
        <w:t>第二部分 通用合同条款（略）</w:t>
      </w:r>
      <w:r>
        <w:rPr>
          <w:rFonts w:hint="eastAsia" w:ascii="宋体" w:hAnsi="宋体" w:eastAsia="宋体" w:cs="宋体"/>
          <w:color w:val="auto"/>
          <w:sz w:val="21"/>
          <w:szCs w:val="21"/>
        </w:rPr>
        <w:t>同《建设工程施工合同》(示范文本)GF-2017-0201</w:t>
      </w:r>
    </w:p>
    <w:p w14:paraId="187CB3AE">
      <w:pPr>
        <w:spacing w:line="36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第三部分 专用合同条款</w:t>
      </w:r>
    </w:p>
    <w:p w14:paraId="1AB20AF1">
      <w:pPr>
        <w:pStyle w:val="7"/>
        <w:keepNext w:val="0"/>
        <w:keepLines w:val="0"/>
        <w:spacing w:before="0" w:after="0" w:line="380" w:lineRule="exact"/>
        <w:rPr>
          <w:rFonts w:ascii="宋体" w:hAnsi="宋体" w:cs="宋体"/>
          <w:b w:val="0"/>
          <w:color w:val="auto"/>
          <w:sz w:val="21"/>
          <w:szCs w:val="21"/>
        </w:rPr>
      </w:pPr>
      <w:bookmarkStart w:id="52" w:name="_Toc351203633"/>
      <w:r>
        <w:rPr>
          <w:rFonts w:hint="eastAsia" w:ascii="宋体" w:hAnsi="宋体" w:cs="宋体"/>
          <w:b w:val="0"/>
          <w:color w:val="auto"/>
          <w:sz w:val="21"/>
          <w:szCs w:val="21"/>
        </w:rPr>
        <w:t>1</w:t>
      </w:r>
      <w:bookmarkStart w:id="53" w:name="_Toc296944495"/>
      <w:bookmarkStart w:id="54" w:name="_Toc296503156"/>
      <w:bookmarkStart w:id="55" w:name="_Toc297120456"/>
      <w:bookmarkStart w:id="56" w:name="_Toc296347155"/>
      <w:bookmarkStart w:id="57" w:name="_Toc296346657"/>
      <w:bookmarkStart w:id="58" w:name="_Toc296891196"/>
      <w:bookmarkStart w:id="59" w:name="_Toc292559361"/>
      <w:bookmarkStart w:id="60" w:name="_Toc297048342"/>
      <w:bookmarkStart w:id="61" w:name="_Toc296890984"/>
      <w:bookmarkStart w:id="62" w:name="_Toc292559866"/>
      <w:r>
        <w:rPr>
          <w:rFonts w:hint="eastAsia" w:ascii="宋体" w:hAnsi="宋体" w:cs="宋体"/>
          <w:b w:val="0"/>
          <w:color w:val="auto"/>
          <w:sz w:val="21"/>
          <w:szCs w:val="21"/>
        </w:rPr>
        <w:t>．一般约定</w:t>
      </w:r>
      <w:bookmarkEnd w:id="52"/>
    </w:p>
    <w:bookmarkEnd w:id="53"/>
    <w:bookmarkEnd w:id="54"/>
    <w:bookmarkEnd w:id="55"/>
    <w:bookmarkEnd w:id="56"/>
    <w:bookmarkEnd w:id="57"/>
    <w:bookmarkEnd w:id="58"/>
    <w:bookmarkEnd w:id="59"/>
    <w:bookmarkEnd w:id="60"/>
    <w:bookmarkEnd w:id="61"/>
    <w:bookmarkEnd w:id="62"/>
    <w:p w14:paraId="6652E7E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 词语定义</w:t>
      </w:r>
    </w:p>
    <w:p w14:paraId="5C1BF51D">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1.1.1合同</w:t>
      </w:r>
    </w:p>
    <w:p w14:paraId="69F67996">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1.1.1.10其他合同文件包括：</w:t>
      </w:r>
      <w:r>
        <w:rPr>
          <w:rFonts w:hint="eastAsia" w:ascii="宋体" w:hAnsi="宋体" w:eastAsia="宋体" w:cs="宋体"/>
          <w:color w:val="auto"/>
          <w:kern w:val="0"/>
          <w:sz w:val="21"/>
          <w:szCs w:val="21"/>
          <w:u w:val="single"/>
        </w:rPr>
        <w:t>工程招标文件、《台州市本级政府投资项目工程变更管理办法》（台政办函〔2019〕25号）、黄财发[2013]20号文件《关于转发省财政厅《浙江省政府投资预算管理办法实施细则》的通知》、《关于印发黄岩区政府投资项目工程变更管理若干意见的通知》（黄政办发[2018]43号）、农民工工资遵照《黄岩区建设领域民工工资管理办法（试行）》（黄政办发〔2017〕141号）、《关于加快推进建设领域人工费用与其他工程款分账管理制度的通知》（黄防欠办发〔2018〕1号）、黄防欠办发（2018）10号《黄岩区工程建设领域农民工工资支付分账管理指导管理》文件执行、黄发改（2018）89号文件《关于进一步推进黄岩区建设工程应用预拌砂浆的通知》及黄岩区相关文件规定、除投标函及其附录和已标价工程量清单或预算书外的其它投标文件、经批准的施工组织设计、专项施工方案。</w:t>
      </w:r>
    </w:p>
    <w:p w14:paraId="2A0B91D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1.1.2合同当事人及其他相关方</w:t>
      </w:r>
    </w:p>
    <w:p w14:paraId="46DB8CC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1.1.2.4监理人：</w:t>
      </w:r>
      <w:r>
        <w:rPr>
          <w:rFonts w:hint="eastAsia" w:ascii="宋体" w:hAnsi="宋体" w:eastAsia="宋体" w:cs="宋体"/>
          <w:color w:val="auto"/>
          <w:sz w:val="21"/>
          <w:szCs w:val="21"/>
          <w:u w:val="single"/>
        </w:rPr>
        <w:t xml:space="preserve">                 </w:t>
      </w:r>
    </w:p>
    <w:p w14:paraId="7CDA1A4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649C1E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EAFC0E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20A3AE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5A29A9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46CC6C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1.1.2.5设计人：</w:t>
      </w:r>
      <w:r>
        <w:rPr>
          <w:rFonts w:hint="eastAsia" w:ascii="宋体" w:hAnsi="宋体" w:eastAsia="宋体" w:cs="宋体"/>
          <w:color w:val="auto"/>
          <w:sz w:val="21"/>
          <w:szCs w:val="21"/>
          <w:u w:val="single"/>
        </w:rPr>
        <w:t xml:space="preserve">                 </w:t>
      </w:r>
    </w:p>
    <w:p w14:paraId="2551C2D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B178B1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AEAFD9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4942A3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E7070C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643225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1.1.3工程和设备</w:t>
      </w:r>
    </w:p>
    <w:p w14:paraId="3C6DE47B">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1.1.3.7作为施工现场组成部分的其他场所包括：</w:t>
      </w:r>
      <w:r>
        <w:rPr>
          <w:rFonts w:hint="eastAsia" w:ascii="宋体" w:hAnsi="宋体" w:eastAsia="宋体" w:cs="宋体"/>
          <w:color w:val="auto"/>
          <w:sz w:val="21"/>
          <w:szCs w:val="21"/>
          <w:u w:val="single"/>
        </w:rPr>
        <w:t xml:space="preserve">                 </w:t>
      </w:r>
    </w:p>
    <w:p w14:paraId="4FC2BA3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1.1.3.9永久占地包括：</w:t>
      </w:r>
      <w:r>
        <w:rPr>
          <w:rFonts w:hint="eastAsia" w:ascii="宋体" w:hAnsi="宋体" w:eastAsia="宋体" w:cs="宋体"/>
          <w:color w:val="auto"/>
          <w:sz w:val="21"/>
          <w:szCs w:val="21"/>
          <w:u w:val="single"/>
        </w:rPr>
        <w:t xml:space="preserve">                 </w:t>
      </w:r>
    </w:p>
    <w:p w14:paraId="322B1C5B">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1.1.3.10临时占地包括：</w:t>
      </w:r>
      <w:r>
        <w:rPr>
          <w:rFonts w:hint="eastAsia" w:ascii="宋体" w:hAnsi="宋体" w:eastAsia="宋体" w:cs="宋体"/>
          <w:color w:val="auto"/>
          <w:kern w:val="2"/>
          <w:sz w:val="21"/>
          <w:szCs w:val="21"/>
          <w:u w:val="single"/>
        </w:rPr>
        <w:t>临建用地、仓储、居住生活用地、临时占路、占人行道。</w:t>
      </w:r>
    </w:p>
    <w:p w14:paraId="152E4AD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1.3法律</w:t>
      </w:r>
    </w:p>
    <w:p w14:paraId="1E89832C">
      <w:pPr>
        <w:autoSpaceDE w:val="0"/>
        <w:autoSpaceDN w:val="0"/>
        <w:adjustRightInd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《浙江省建设工程计价依据（2018版）》、《建设工程工程量清单计价规范》（GB 50500-2013）、《房屋建筑与装饰工程工程量计算规范》（GB 50854－2013）、《仿古建筑工程工程量计算规范》（GB 50855－2013）、《通用安装工程工程量计算规范》（GB 50856－2013）、《市政工程工程量计算规范》（GB 50857－2013）、《园林绿化工程工程量计算规范》（GB 50858－2013）、《建设工程工程量计算规范（2013）浙江省补充规定》（浙建站计〔2013〕63号）、《建设工程工程量清单计算规范（2013）浙江省补充规定（二）》（浙建站计〔2014〕31号）</w:t>
      </w:r>
      <w:r>
        <w:rPr>
          <w:rFonts w:hint="eastAsia" w:ascii="宋体" w:hAnsi="宋体" w:eastAsia="宋体" w:cs="宋体"/>
          <w:color w:val="auto"/>
          <w:sz w:val="21"/>
          <w:szCs w:val="21"/>
          <w:u w:val="single"/>
          <w:lang w:eastAsia="zh-CN"/>
        </w:rPr>
        <w:t>等工程所在地现行的有关工程造价方面规定</w:t>
      </w:r>
      <w:r>
        <w:rPr>
          <w:rFonts w:hint="eastAsia" w:ascii="宋体" w:hAnsi="宋体" w:eastAsia="宋体" w:cs="宋体"/>
          <w:color w:val="auto"/>
          <w:sz w:val="21"/>
          <w:szCs w:val="21"/>
        </w:rPr>
        <w:t>。</w:t>
      </w:r>
    </w:p>
    <w:p w14:paraId="0460272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 标准和规范</w:t>
      </w:r>
    </w:p>
    <w:p w14:paraId="242E103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1.4.1适用于工程的标准规范包括：</w:t>
      </w:r>
      <w:r>
        <w:rPr>
          <w:rFonts w:hint="eastAsia" w:ascii="宋体" w:hAnsi="宋体" w:eastAsia="宋体" w:cs="宋体"/>
          <w:color w:val="auto"/>
          <w:sz w:val="21"/>
          <w:szCs w:val="21"/>
          <w:u w:val="single"/>
        </w:rPr>
        <w:t>现行的国家、省、市施工验收规范、质量评定标准及有关规定。合同工期内的标准、规范，招标文件中的技术要求等</w:t>
      </w:r>
      <w:r>
        <w:rPr>
          <w:rFonts w:hint="eastAsia" w:ascii="宋体" w:hAnsi="宋体" w:eastAsia="宋体" w:cs="宋体"/>
          <w:color w:val="auto"/>
          <w:sz w:val="21"/>
          <w:szCs w:val="21"/>
        </w:rPr>
        <w:t>。</w:t>
      </w:r>
    </w:p>
    <w:p w14:paraId="479CD2BA">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1.4.2发包人提供国外标准、规范的名称：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30435832">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发包人提供国外标准、规范的份数：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2CF8CF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发包人提供国外标准、规范的名称：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47CDE86">
      <w:pPr>
        <w:spacing w:line="380" w:lineRule="exact"/>
        <w:rPr>
          <w:rFonts w:ascii="宋体" w:hAnsi="宋体" w:eastAsia="宋体" w:cs="宋体"/>
          <w:color w:val="auto"/>
          <w:sz w:val="21"/>
          <w:szCs w:val="21"/>
        </w:rPr>
      </w:pPr>
      <w:r>
        <w:rPr>
          <w:rFonts w:hint="eastAsia" w:ascii="宋体" w:hAnsi="宋体" w:eastAsia="宋体" w:cs="宋体"/>
          <w:color w:val="auto"/>
          <w:sz w:val="21"/>
          <w:szCs w:val="21"/>
        </w:rPr>
        <w:t>1.4.3发包人对工程的技术标准和功能要求的特殊要求：</w:t>
      </w:r>
      <w:r>
        <w:rPr>
          <w:rFonts w:hint="eastAsia" w:ascii="宋体" w:hAnsi="宋体" w:eastAsia="宋体" w:cs="宋体"/>
          <w:color w:val="auto"/>
          <w:sz w:val="21"/>
          <w:szCs w:val="21"/>
          <w:u w:val="single"/>
        </w:rPr>
        <w:t>国家没有相应标准、规范且不使用国外标准、规范时，按发包人和承包人商定的方案施工</w:t>
      </w:r>
      <w:r>
        <w:rPr>
          <w:rFonts w:hint="eastAsia" w:ascii="宋体" w:hAnsi="宋体" w:eastAsia="宋体" w:cs="宋体"/>
          <w:color w:val="auto"/>
          <w:sz w:val="21"/>
          <w:szCs w:val="21"/>
        </w:rPr>
        <w:t>。</w:t>
      </w:r>
    </w:p>
    <w:p w14:paraId="0D10F92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 合同文件的优先顺序</w:t>
      </w:r>
    </w:p>
    <w:p w14:paraId="17B5168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合同文件组成及优先顺序为：</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w:t>
      </w:r>
    </w:p>
    <w:p w14:paraId="5F99F13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 图纸和承包人文件</w:t>
      </w:r>
      <w:r>
        <w:rPr>
          <w:rFonts w:hint="eastAsia" w:ascii="宋体" w:hAnsi="宋体" w:eastAsia="宋体" w:cs="宋体"/>
          <w:color w:val="auto"/>
          <w:sz w:val="21"/>
          <w:szCs w:val="21"/>
        </w:rPr>
        <w:tab/>
      </w:r>
    </w:p>
    <w:p w14:paraId="3FB1269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1.6.1图纸的提供</w:t>
      </w:r>
    </w:p>
    <w:p w14:paraId="38E0BFE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color w:val="auto"/>
          <w:sz w:val="21"/>
          <w:szCs w:val="21"/>
          <w:u w:val="single"/>
        </w:rPr>
        <w:t>开工日期14天前</w:t>
      </w:r>
      <w:r>
        <w:rPr>
          <w:rFonts w:hint="eastAsia" w:ascii="宋体" w:hAnsi="宋体" w:eastAsia="宋体" w:cs="宋体"/>
          <w:color w:val="auto"/>
          <w:sz w:val="21"/>
          <w:szCs w:val="21"/>
        </w:rPr>
        <w:t>；</w:t>
      </w:r>
    </w:p>
    <w:p w14:paraId="23426A0D">
      <w:pPr>
        <w:spacing w:line="380" w:lineRule="exact"/>
        <w:rPr>
          <w:rFonts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color w:val="auto"/>
          <w:sz w:val="21"/>
          <w:szCs w:val="21"/>
          <w:u w:val="single"/>
        </w:rPr>
        <w:t>纸质施工图〔四〕套并附目录清单及与其一致的电子版施工图。</w:t>
      </w:r>
    </w:p>
    <w:p w14:paraId="7B423EC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须载明施工图纸名称、工程号、版本、出图日期、目录、已有的变更联系单编号等</w:t>
      </w:r>
      <w:r>
        <w:rPr>
          <w:rFonts w:hint="eastAsia" w:ascii="宋体" w:hAnsi="宋体" w:eastAsia="宋体" w:cs="宋体"/>
          <w:color w:val="auto"/>
          <w:sz w:val="21"/>
          <w:szCs w:val="21"/>
        </w:rPr>
        <w:t>。</w:t>
      </w:r>
    </w:p>
    <w:p w14:paraId="286CD82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1.6.4承包人文件</w:t>
      </w:r>
    </w:p>
    <w:p w14:paraId="5057B27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资金月使用计划，施工组织设计、专项施工方案、工程总进度计划、工程月进度计划表等</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color w:val="auto"/>
          <w:sz w:val="21"/>
          <w:szCs w:val="21"/>
        </w:rPr>
        <w:t>；</w:t>
      </w:r>
    </w:p>
    <w:p w14:paraId="2434C8E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color w:val="auto"/>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color w:val="auto"/>
          <w:sz w:val="21"/>
          <w:szCs w:val="21"/>
        </w:rPr>
        <w:t>；</w:t>
      </w:r>
    </w:p>
    <w:p w14:paraId="374B56F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另行约定</w:t>
      </w:r>
      <w:r>
        <w:rPr>
          <w:rFonts w:hint="eastAsia" w:ascii="宋体" w:hAnsi="宋体" w:eastAsia="宋体" w:cs="宋体"/>
          <w:color w:val="auto"/>
          <w:sz w:val="21"/>
          <w:szCs w:val="21"/>
        </w:rPr>
        <w:t>；</w:t>
      </w:r>
    </w:p>
    <w:p w14:paraId="6322C12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纸质及电子版本</w:t>
      </w:r>
      <w:r>
        <w:rPr>
          <w:rFonts w:hint="eastAsia" w:ascii="宋体" w:hAnsi="宋体" w:eastAsia="宋体" w:cs="宋体"/>
          <w:color w:val="auto"/>
          <w:sz w:val="21"/>
          <w:szCs w:val="21"/>
        </w:rPr>
        <w:t>；</w:t>
      </w:r>
    </w:p>
    <w:p w14:paraId="6328CDC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收到相应文件后7天内</w:t>
      </w:r>
      <w:r>
        <w:rPr>
          <w:rFonts w:hint="eastAsia" w:ascii="宋体" w:hAnsi="宋体" w:eastAsia="宋体" w:cs="宋体"/>
          <w:color w:val="auto"/>
          <w:sz w:val="21"/>
          <w:szCs w:val="21"/>
        </w:rPr>
        <w:t>。</w:t>
      </w:r>
    </w:p>
    <w:p w14:paraId="6527460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1.6.5现场图纸准备</w:t>
      </w:r>
    </w:p>
    <w:p w14:paraId="1F2B686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由监理人在现场保管一套完整施工图，供发包人、监理人及有关人员进行工程检查等活动时使用</w:t>
      </w:r>
      <w:r>
        <w:rPr>
          <w:rFonts w:hint="eastAsia" w:ascii="宋体" w:hAnsi="宋体" w:eastAsia="宋体" w:cs="宋体"/>
          <w:color w:val="auto"/>
          <w:sz w:val="21"/>
          <w:szCs w:val="21"/>
        </w:rPr>
        <w:t>。</w:t>
      </w:r>
    </w:p>
    <w:p w14:paraId="0049B46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1.7 联络</w:t>
      </w:r>
    </w:p>
    <w:p w14:paraId="4BA0067C">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1.7.1发包人和承包人应当在</w:t>
      </w:r>
      <w:r>
        <w:rPr>
          <w:rFonts w:hint="eastAsia" w:ascii="宋体" w:hAnsi="宋体" w:eastAsia="宋体" w:cs="宋体"/>
          <w:color w:val="auto"/>
          <w:sz w:val="21"/>
          <w:szCs w:val="21"/>
          <w:u w:val="single"/>
        </w:rPr>
        <w:t xml:space="preserve">7  </w:t>
      </w:r>
      <w:r>
        <w:rPr>
          <w:rFonts w:hint="eastAsia" w:ascii="宋体" w:hAnsi="宋体" w:eastAsia="宋体" w:cs="宋体"/>
          <w:color w:val="auto"/>
          <w:kern w:val="0"/>
          <w:sz w:val="21"/>
          <w:szCs w:val="21"/>
        </w:rPr>
        <w:t>天内将与合同有关的通知、批准、证明、证书、指示、指令、要求、请求、同意、意见、确定和决定等书面函件送达对方当事人。</w:t>
      </w:r>
    </w:p>
    <w:p w14:paraId="2A5CE47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1.7.2发包人接收文件的地点：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508A9FD4">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发包人接收文件的电子</w:t>
      </w:r>
      <w:r>
        <w:rPr>
          <w:rFonts w:hint="eastAsia" w:ascii="宋体" w:hAnsi="宋体" w:eastAsia="宋体" w:cs="宋体"/>
          <w:color w:val="auto"/>
          <w:sz w:val="21"/>
          <w:szCs w:val="21"/>
        </w:rPr>
        <w:t>信箱</w:t>
      </w:r>
      <w:r>
        <w:rPr>
          <w:rFonts w:hint="eastAsia" w:ascii="宋体" w:hAnsi="宋体" w:eastAsia="宋体" w:cs="宋体"/>
          <w:color w:val="auto"/>
          <w:kern w:val="0"/>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1B31BB34">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发包人指定的接收人为：</w:t>
      </w:r>
      <w:r>
        <w:rPr>
          <w:rFonts w:hint="eastAsia" w:ascii="宋体" w:hAnsi="宋体" w:eastAsia="宋体" w:cs="宋体"/>
          <w:color w:val="auto"/>
          <w:sz w:val="21"/>
          <w:szCs w:val="21"/>
          <w:u w:val="single"/>
        </w:rPr>
        <w:t xml:space="preserve">（2人以上及联系电话）      </w:t>
      </w:r>
      <w:r>
        <w:rPr>
          <w:rFonts w:hint="eastAsia" w:ascii="宋体" w:hAnsi="宋体" w:eastAsia="宋体" w:cs="宋体"/>
          <w:color w:val="auto"/>
          <w:kern w:val="0"/>
          <w:sz w:val="21"/>
          <w:szCs w:val="21"/>
        </w:rPr>
        <w:t>。</w:t>
      </w:r>
    </w:p>
    <w:p w14:paraId="3822B360">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0897CD3">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承包人接收文件的电子</w:t>
      </w:r>
      <w:r>
        <w:rPr>
          <w:rFonts w:hint="eastAsia" w:ascii="宋体" w:hAnsi="宋体" w:eastAsia="宋体" w:cs="宋体"/>
          <w:color w:val="auto"/>
          <w:sz w:val="21"/>
          <w:szCs w:val="21"/>
        </w:rPr>
        <w:t>信箱</w:t>
      </w:r>
      <w:r>
        <w:rPr>
          <w:rFonts w:hint="eastAsia" w:ascii="宋体" w:hAnsi="宋体" w:eastAsia="宋体" w:cs="宋体"/>
          <w:color w:val="auto"/>
          <w:kern w:val="0"/>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5B153CF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承包人指定的接收人为：</w:t>
      </w:r>
      <w:r>
        <w:rPr>
          <w:rFonts w:hint="eastAsia" w:ascii="宋体" w:hAnsi="宋体" w:eastAsia="宋体" w:cs="宋体"/>
          <w:color w:val="auto"/>
          <w:sz w:val="21"/>
          <w:szCs w:val="21"/>
          <w:u w:val="single"/>
        </w:rPr>
        <w:t xml:space="preserve">（2人以上及联系电话）      </w:t>
      </w:r>
      <w:r>
        <w:rPr>
          <w:rFonts w:hint="eastAsia" w:ascii="宋体" w:hAnsi="宋体" w:eastAsia="宋体" w:cs="宋体"/>
          <w:color w:val="auto"/>
          <w:kern w:val="0"/>
          <w:sz w:val="21"/>
          <w:szCs w:val="21"/>
        </w:rPr>
        <w:t>。</w:t>
      </w:r>
    </w:p>
    <w:p w14:paraId="5BF23492">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58A5655">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监理人接收文件的电子</w:t>
      </w:r>
      <w:r>
        <w:rPr>
          <w:rFonts w:hint="eastAsia" w:ascii="宋体" w:hAnsi="宋体" w:eastAsia="宋体" w:cs="宋体"/>
          <w:color w:val="auto"/>
          <w:sz w:val="21"/>
          <w:szCs w:val="21"/>
        </w:rPr>
        <w:t>信箱</w:t>
      </w:r>
      <w:r>
        <w:rPr>
          <w:rFonts w:hint="eastAsia" w:ascii="宋体" w:hAnsi="宋体" w:eastAsia="宋体" w:cs="宋体"/>
          <w:color w:val="auto"/>
          <w:kern w:val="0"/>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50BAD654">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监理人指定的接收人为：</w:t>
      </w:r>
      <w:r>
        <w:rPr>
          <w:rFonts w:hint="eastAsia" w:ascii="宋体" w:hAnsi="宋体" w:eastAsia="宋体" w:cs="宋体"/>
          <w:color w:val="auto"/>
          <w:sz w:val="21"/>
          <w:szCs w:val="21"/>
          <w:u w:val="single"/>
        </w:rPr>
        <w:t xml:space="preserve">（2人以上及联系电话）  </w:t>
      </w:r>
      <w:r>
        <w:rPr>
          <w:rFonts w:hint="eastAsia" w:ascii="宋体" w:hAnsi="宋体" w:eastAsia="宋体" w:cs="宋体"/>
          <w:color w:val="auto"/>
          <w:kern w:val="0"/>
          <w:sz w:val="21"/>
          <w:szCs w:val="21"/>
        </w:rPr>
        <w:t>。</w:t>
      </w:r>
    </w:p>
    <w:p w14:paraId="2D9FDE1F">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发包人、承包人、监理人的文件接收地址、接收人（含联系电话）发生变动的，应提前3天通知各方。</w:t>
      </w:r>
    </w:p>
    <w:p w14:paraId="5384166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1.10 交通运输</w:t>
      </w:r>
    </w:p>
    <w:p w14:paraId="3EF208C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bookmarkStart w:id="63" w:name="_Toc312677986"/>
      <w:bookmarkStart w:id="64" w:name="_Toc300934943"/>
      <w:bookmarkStart w:id="65" w:name="_Toc303539100"/>
      <w:bookmarkStart w:id="66" w:name="_Toc318581155"/>
      <w:bookmarkStart w:id="67" w:name="_Toc304295521"/>
      <w:r>
        <w:rPr>
          <w:rFonts w:hint="eastAsia" w:ascii="宋体" w:hAnsi="宋体" w:eastAsia="宋体" w:cs="宋体"/>
          <w:color w:val="auto"/>
          <w:sz w:val="21"/>
          <w:szCs w:val="21"/>
        </w:rPr>
        <w:t>.10.1出入现场的权利</w:t>
      </w:r>
    </w:p>
    <w:p w14:paraId="5C53A54F">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，可视工程实际双方再补充约定</w:t>
      </w:r>
      <w:r>
        <w:rPr>
          <w:rFonts w:hint="eastAsia" w:ascii="宋体" w:hAnsi="宋体" w:eastAsia="宋体" w:cs="宋体"/>
          <w:color w:val="auto"/>
          <w:sz w:val="21"/>
          <w:szCs w:val="21"/>
        </w:rPr>
        <w:t>。</w:t>
      </w:r>
    </w:p>
    <w:bookmarkEnd w:id="63"/>
    <w:bookmarkEnd w:id="64"/>
    <w:bookmarkEnd w:id="65"/>
    <w:bookmarkEnd w:id="66"/>
    <w:bookmarkEnd w:id="67"/>
    <w:p w14:paraId="29C1CF5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bookmarkStart w:id="68" w:name="_Toc312677987"/>
      <w:bookmarkStart w:id="69" w:name="_Toc304295522"/>
      <w:bookmarkStart w:id="70" w:name="_Toc318581156"/>
      <w:bookmarkStart w:id="71" w:name="_Toc300934944"/>
      <w:bookmarkStart w:id="72" w:name="_Toc303539101"/>
      <w:r>
        <w:rPr>
          <w:rFonts w:hint="eastAsia" w:ascii="宋体" w:hAnsi="宋体" w:eastAsia="宋体" w:cs="宋体"/>
          <w:color w:val="auto"/>
          <w:sz w:val="21"/>
          <w:szCs w:val="21"/>
        </w:rPr>
        <w:t>.10.3场内交通</w:t>
      </w:r>
    </w:p>
    <w:p w14:paraId="2DD2F73F">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关于场外交通和场内交通的边界的约定：</w:t>
      </w:r>
      <w:r>
        <w:rPr>
          <w:rFonts w:hint="eastAsia" w:ascii="宋体" w:hAnsi="宋体" w:eastAsia="宋体" w:cs="宋体"/>
          <w:color w:val="auto"/>
          <w:sz w:val="21"/>
          <w:szCs w:val="21"/>
          <w:u w:val="single"/>
        </w:rPr>
        <w:t xml:space="preserve"> 以规划用地红线为界 </w:t>
      </w:r>
      <w:r>
        <w:rPr>
          <w:rFonts w:hint="eastAsia" w:ascii="宋体" w:hAnsi="宋体" w:eastAsia="宋体" w:cs="宋体"/>
          <w:color w:val="auto"/>
          <w:sz w:val="21"/>
          <w:szCs w:val="21"/>
        </w:rPr>
        <w:t>。</w:t>
      </w:r>
    </w:p>
    <w:p w14:paraId="3B20C9F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w:t>
      </w:r>
      <w:r>
        <w:rPr>
          <w:rFonts w:hint="eastAsia" w:ascii="宋体" w:hAnsi="宋体" w:eastAsia="宋体" w:cs="宋体"/>
          <w:color w:val="auto"/>
          <w:kern w:val="0"/>
          <w:sz w:val="21"/>
          <w:szCs w:val="21"/>
          <w:u w:val="single"/>
        </w:rPr>
        <w:t>发包人提供的场内交通条件为现状，承包人自行组织现场踏勘</w:t>
      </w:r>
      <w:r>
        <w:rPr>
          <w:rFonts w:hint="eastAsia" w:ascii="宋体" w:hAnsi="宋体" w:eastAsia="宋体" w:cs="宋体"/>
          <w:color w:val="auto"/>
          <w:sz w:val="21"/>
          <w:szCs w:val="21"/>
        </w:rPr>
        <w:t>。</w:t>
      </w:r>
      <w:bookmarkEnd w:id="68"/>
      <w:bookmarkEnd w:id="69"/>
      <w:bookmarkEnd w:id="70"/>
      <w:bookmarkEnd w:id="71"/>
      <w:bookmarkEnd w:id="72"/>
      <w:bookmarkStart w:id="73" w:name="_Toc318581157"/>
    </w:p>
    <w:p w14:paraId="2AEE835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1.10.4超大件和超重件的运输</w:t>
      </w:r>
    </w:p>
    <w:p w14:paraId="605ECE9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（根据具体工程发包人在招标文件或工程量清单中明确相关费用，由承包人报价包干或发生时协商处理）。</w:t>
      </w:r>
    </w:p>
    <w:bookmarkEnd w:id="73"/>
    <w:p w14:paraId="4AB149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1.11 知识产权</w:t>
      </w:r>
    </w:p>
    <w:p w14:paraId="26CC986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92D024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494CEB5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1.11.2关于承包人为实施工程所编制文件的著作权的归属：</w:t>
      </w:r>
      <w:r>
        <w:rPr>
          <w:rFonts w:hint="eastAsia" w:ascii="宋体" w:hAnsi="宋体" w:eastAsia="宋体" w:cs="宋体"/>
          <w:color w:val="auto"/>
          <w:sz w:val="21"/>
          <w:szCs w:val="21"/>
          <w:u w:val="single"/>
        </w:rPr>
        <w:t xml:space="preserve"> 发包人</w:t>
      </w:r>
      <w:r>
        <w:rPr>
          <w:rFonts w:hint="eastAsia" w:ascii="宋体" w:hAnsi="宋体" w:eastAsia="宋体" w:cs="宋体"/>
          <w:color w:val="auto"/>
          <w:sz w:val="21"/>
          <w:szCs w:val="21"/>
        </w:rPr>
        <w:t>。</w:t>
      </w:r>
    </w:p>
    <w:p w14:paraId="12304B3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1EBA109C">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1.11.4承包人在施工过程中所采用的专利、专有技术、技术秘密的使用费的承担方式：</w:t>
      </w:r>
      <w:r>
        <w:rPr>
          <w:rFonts w:hint="eastAsia" w:ascii="宋体" w:hAnsi="宋体" w:eastAsia="宋体" w:cs="宋体"/>
          <w:color w:val="auto"/>
          <w:sz w:val="21"/>
          <w:szCs w:val="21"/>
          <w:u w:val="single"/>
        </w:rPr>
        <w:t>包含在合同价内</w:t>
      </w:r>
      <w:r>
        <w:rPr>
          <w:rFonts w:hint="eastAsia" w:ascii="宋体" w:hAnsi="宋体" w:eastAsia="宋体" w:cs="宋体"/>
          <w:color w:val="auto"/>
          <w:kern w:val="0"/>
          <w:sz w:val="21"/>
          <w:szCs w:val="21"/>
        </w:rPr>
        <w:t>。</w:t>
      </w:r>
    </w:p>
    <w:p w14:paraId="7B0DFE0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1.13工程量清单错误的修正</w:t>
      </w:r>
    </w:p>
    <w:p w14:paraId="03FC69B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出现工程量清单错误时，是否调整合同价格：</w:t>
      </w:r>
      <w:r>
        <w:rPr>
          <w:rFonts w:hint="eastAsia" w:ascii="宋体" w:hAnsi="宋体" w:eastAsia="宋体" w:cs="宋体"/>
          <w:color w:val="auto"/>
          <w:sz w:val="21"/>
          <w:szCs w:val="21"/>
          <w:u w:val="single"/>
        </w:rPr>
        <w:t xml:space="preserve">工程量清单特征描述不符引起造价变化的子目及工程量清单漏项子目按专用条款10.4.1（2）（3）（4）条约定调整合同价格 </w:t>
      </w:r>
      <w:r>
        <w:rPr>
          <w:rFonts w:hint="eastAsia" w:ascii="宋体" w:hAnsi="宋体" w:eastAsia="宋体" w:cs="宋体"/>
          <w:color w:val="auto"/>
          <w:kern w:val="0"/>
          <w:sz w:val="21"/>
          <w:szCs w:val="21"/>
        </w:rPr>
        <w:t>。</w:t>
      </w:r>
    </w:p>
    <w:p w14:paraId="5A8F3E48">
      <w:pPr>
        <w:autoSpaceDE w:val="0"/>
        <w:autoSpaceDN w:val="0"/>
        <w:spacing w:line="380" w:lineRule="exact"/>
        <w:ind w:firstLine="420" w:firstLineChars="200"/>
        <w:rPr>
          <w:rFonts w:ascii="宋体" w:hAnsi="宋体" w:eastAsia="宋体" w:cs="宋体"/>
          <w:color w:val="auto"/>
          <w:sz w:val="21"/>
          <w:szCs w:val="21"/>
          <w:u w:val="single"/>
          <w:lang w:val="zh-CN"/>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sz w:val="21"/>
          <w:szCs w:val="21"/>
          <w:u w:val="single"/>
        </w:rPr>
        <w:t>因招标工程量清单中的工程量</w:t>
      </w:r>
      <w:r>
        <w:rPr>
          <w:rFonts w:hint="eastAsia" w:ascii="宋体" w:hAnsi="宋体" w:eastAsia="宋体" w:cs="宋体"/>
          <w:color w:val="auto"/>
          <w:sz w:val="21"/>
          <w:szCs w:val="21"/>
          <w:u w:val="single"/>
          <w:lang w:val="zh-CN"/>
        </w:rPr>
        <w:t>计算偏差或工程变更等引起的</w:t>
      </w:r>
      <w:r>
        <w:rPr>
          <w:rFonts w:hint="eastAsia" w:ascii="宋体" w:hAnsi="宋体" w:eastAsia="宋体" w:cs="宋体"/>
          <w:color w:val="auto"/>
          <w:sz w:val="21"/>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14:paraId="4F985E95">
      <w:pPr>
        <w:pStyle w:val="7"/>
        <w:keepNext w:val="0"/>
        <w:keepLines w:val="0"/>
        <w:spacing w:before="0" w:after="0" w:line="380" w:lineRule="exact"/>
        <w:rPr>
          <w:rFonts w:ascii="宋体" w:hAnsi="宋体" w:cs="宋体"/>
          <w:b w:val="0"/>
          <w:color w:val="auto"/>
          <w:sz w:val="21"/>
          <w:szCs w:val="21"/>
        </w:rPr>
      </w:pPr>
      <w:bookmarkStart w:id="74" w:name="_Toc351203634"/>
      <w:r>
        <w:rPr>
          <w:rFonts w:hint="eastAsia" w:ascii="宋体" w:hAnsi="宋体" w:cs="宋体"/>
          <w:b w:val="0"/>
          <w:color w:val="auto"/>
          <w:sz w:val="21"/>
          <w:szCs w:val="21"/>
        </w:rPr>
        <w:t>2</w:t>
      </w:r>
      <w:bookmarkStart w:id="75" w:name="_Toc297120457"/>
      <w:bookmarkStart w:id="76" w:name="_Toc296891197"/>
      <w:bookmarkStart w:id="77" w:name="_Toc292559362"/>
      <w:bookmarkStart w:id="78" w:name="_Toc297048343"/>
      <w:bookmarkStart w:id="79" w:name="_Toc296347156"/>
      <w:bookmarkStart w:id="80" w:name="_Toc296503157"/>
      <w:bookmarkStart w:id="81" w:name="_Toc296346658"/>
      <w:bookmarkStart w:id="82" w:name="_Toc296890985"/>
      <w:bookmarkStart w:id="83" w:name="_Toc292559867"/>
      <w:bookmarkStart w:id="84" w:name="_Toc296944496"/>
      <w:r>
        <w:rPr>
          <w:rFonts w:hint="eastAsia" w:ascii="宋体" w:hAnsi="宋体" w:cs="宋体"/>
          <w:b w:val="0"/>
          <w:color w:val="auto"/>
          <w:sz w:val="21"/>
          <w:szCs w:val="21"/>
        </w:rPr>
        <w:t>．发包人</w:t>
      </w:r>
      <w:bookmarkEnd w:id="74"/>
    </w:p>
    <w:bookmarkEnd w:id="75"/>
    <w:bookmarkEnd w:id="76"/>
    <w:bookmarkEnd w:id="77"/>
    <w:bookmarkEnd w:id="78"/>
    <w:bookmarkEnd w:id="79"/>
    <w:bookmarkEnd w:id="80"/>
    <w:bookmarkEnd w:id="81"/>
    <w:bookmarkEnd w:id="82"/>
    <w:bookmarkEnd w:id="83"/>
    <w:bookmarkEnd w:id="84"/>
    <w:p w14:paraId="776B932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2.2 发包人代表</w:t>
      </w:r>
    </w:p>
    <w:p w14:paraId="37242766">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57A908B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83CC5F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111E96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A36BDA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A83076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5D027C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B4D432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代表发包人对承包人的工程质量管理、安全文明施工和施工进度管理等进行监督，协调施工现场，配合完成验收，按有关规定办理接收手续</w:t>
      </w:r>
      <w:r>
        <w:rPr>
          <w:rFonts w:hint="eastAsia" w:ascii="宋体" w:hAnsi="宋体" w:eastAsia="宋体" w:cs="宋体"/>
          <w:color w:val="auto"/>
          <w:sz w:val="21"/>
          <w:szCs w:val="21"/>
        </w:rPr>
        <w:t>。</w:t>
      </w:r>
    </w:p>
    <w:p w14:paraId="60B5265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2.4 施工现场、施工条件和基础资料的提供</w:t>
      </w:r>
    </w:p>
    <w:p w14:paraId="1C8E661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2.4.1提供施工现场</w:t>
      </w:r>
    </w:p>
    <w:p w14:paraId="5C7C4CD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开工日期7天前  </w:t>
      </w:r>
      <w:r>
        <w:rPr>
          <w:rFonts w:hint="eastAsia" w:ascii="宋体" w:hAnsi="宋体" w:eastAsia="宋体" w:cs="宋体"/>
          <w:color w:val="auto"/>
          <w:sz w:val="21"/>
          <w:szCs w:val="21"/>
        </w:rPr>
        <w:t>。</w:t>
      </w:r>
    </w:p>
    <w:p w14:paraId="4BFE589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2.4.2提供施工条件</w:t>
      </w:r>
    </w:p>
    <w:p w14:paraId="46211441">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关于发包人应负责提供施工所需要的条件，包括：</w:t>
      </w:r>
      <w:r>
        <w:rPr>
          <w:rFonts w:hint="eastAsia" w:ascii="宋体" w:hAnsi="宋体" w:eastAsia="宋体" w:cs="宋体"/>
          <w:color w:val="auto"/>
          <w:sz w:val="21"/>
          <w:szCs w:val="21"/>
          <w:u w:val="single"/>
        </w:rPr>
        <w:t>关于发包人应负责提供施工所需要的条件，包括：施工现场用水用电发包人已接至本项目场地范围，场地内接线及施工期间的维护工作由承包人自行负责，水电费由承包人承担，且相关人员应持证上岗。施工用水如涉及市政管网供水的水压不能正常满足施工条件，相应措施由承包人自行解决，此费用由承包人报价时综合考虑，不再另外计取。发包人提供的施工用电容量如不能满足施工高峰期的用电量时，承包人须另行配备发电机组，此费用由承包人报价时综合考虑，不再另外计取。</w:t>
      </w:r>
    </w:p>
    <w:p w14:paraId="2FD6D5C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2.5 资金来源证明及支付担保</w:t>
      </w:r>
    </w:p>
    <w:p w14:paraId="49D097E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发包人提供资金来源证明的期限要求：</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3569736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14:paraId="666F439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发包人提供支付担保的形式：</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391C0C3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2.6 支付合同价款</w:t>
      </w:r>
    </w:p>
    <w:p w14:paraId="5BCFEF5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发包人应按合同约定向承包人及时支付合同价款。</w:t>
      </w:r>
    </w:p>
    <w:p w14:paraId="70F46AE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2.7 组织竣工验收</w:t>
      </w:r>
    </w:p>
    <w:p w14:paraId="751548E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发包人应按合同约定及时组织竣工验收。</w:t>
      </w:r>
    </w:p>
    <w:p w14:paraId="312ACCC9">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承包人完成合同范围内工程内容，发包人应根据施工图纸、现行施工验收规范和质量验收标准及时组织工程质量验收。</w:t>
      </w:r>
    </w:p>
    <w:p w14:paraId="37760116">
      <w:pPr>
        <w:pStyle w:val="7"/>
        <w:keepNext w:val="0"/>
        <w:keepLines w:val="0"/>
        <w:spacing w:before="0" w:after="0" w:line="380" w:lineRule="exact"/>
        <w:rPr>
          <w:rFonts w:ascii="宋体" w:hAnsi="宋体" w:cs="宋体"/>
          <w:b w:val="0"/>
          <w:color w:val="auto"/>
          <w:sz w:val="21"/>
          <w:szCs w:val="21"/>
        </w:rPr>
      </w:pPr>
      <w:bookmarkStart w:id="85" w:name="_Toc351203635"/>
      <w:r>
        <w:rPr>
          <w:rFonts w:hint="eastAsia" w:ascii="宋体" w:hAnsi="宋体" w:cs="宋体"/>
          <w:b w:val="0"/>
          <w:color w:val="auto"/>
          <w:sz w:val="21"/>
          <w:szCs w:val="21"/>
        </w:rPr>
        <w:t>3</w:t>
      </w:r>
      <w:bookmarkStart w:id="86" w:name="_Toc296346659"/>
      <w:bookmarkStart w:id="87" w:name="_Toc296944497"/>
      <w:bookmarkStart w:id="88" w:name="_Toc292559868"/>
      <w:bookmarkStart w:id="89" w:name="_Toc297120458"/>
      <w:bookmarkStart w:id="90" w:name="_Toc296347157"/>
      <w:bookmarkStart w:id="91" w:name="_Toc297048344"/>
      <w:bookmarkStart w:id="92" w:name="_Toc292559363"/>
      <w:bookmarkStart w:id="93" w:name="_Toc296503158"/>
      <w:bookmarkStart w:id="94" w:name="_Toc296891198"/>
      <w:bookmarkStart w:id="95" w:name="_Toc296890986"/>
      <w:r>
        <w:rPr>
          <w:rFonts w:hint="eastAsia" w:ascii="宋体" w:hAnsi="宋体" w:cs="宋体"/>
          <w:b w:val="0"/>
          <w:color w:val="auto"/>
          <w:sz w:val="21"/>
          <w:szCs w:val="21"/>
        </w:rPr>
        <w:t>．承包人</w:t>
      </w:r>
      <w:bookmarkEnd w:id="85"/>
    </w:p>
    <w:bookmarkEnd w:id="86"/>
    <w:bookmarkEnd w:id="87"/>
    <w:bookmarkEnd w:id="88"/>
    <w:bookmarkEnd w:id="89"/>
    <w:bookmarkEnd w:id="90"/>
    <w:bookmarkEnd w:id="91"/>
    <w:bookmarkEnd w:id="92"/>
    <w:bookmarkEnd w:id="93"/>
    <w:bookmarkEnd w:id="94"/>
    <w:bookmarkEnd w:id="95"/>
    <w:p w14:paraId="5DE1FD0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3.1 承包人的一般义务</w:t>
      </w:r>
    </w:p>
    <w:p w14:paraId="7163036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（9）</w:t>
      </w:r>
      <w:r>
        <w:rPr>
          <w:rFonts w:hint="eastAsia" w:ascii="宋体" w:hAnsi="宋体" w:eastAsia="宋体" w:cs="宋体"/>
          <w:color w:val="auto"/>
          <w:sz w:val="21"/>
          <w:szCs w:val="21"/>
        </w:rPr>
        <w:t>承包人提交的竣工资料的内容：</w:t>
      </w:r>
      <w:r>
        <w:rPr>
          <w:rFonts w:hint="eastAsia" w:ascii="宋体" w:hAnsi="宋体" w:eastAsia="宋体" w:cs="宋体"/>
          <w:color w:val="auto"/>
          <w:sz w:val="21"/>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auto"/>
          <w:sz w:val="21"/>
          <w:szCs w:val="21"/>
        </w:rPr>
        <w:t>。</w:t>
      </w:r>
    </w:p>
    <w:p w14:paraId="2DC0F19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     2套  </w:t>
      </w:r>
      <w:r>
        <w:rPr>
          <w:rFonts w:hint="eastAsia" w:ascii="宋体" w:hAnsi="宋体" w:eastAsia="宋体" w:cs="宋体"/>
          <w:color w:val="auto"/>
          <w:sz w:val="21"/>
          <w:szCs w:val="21"/>
        </w:rPr>
        <w:t>。</w:t>
      </w:r>
    </w:p>
    <w:p w14:paraId="022D6B3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7E2559D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工程竣工验收合格后7天内</w:t>
      </w:r>
      <w:r>
        <w:rPr>
          <w:rFonts w:hint="eastAsia" w:ascii="宋体" w:hAnsi="宋体" w:eastAsia="宋体" w:cs="宋体"/>
          <w:color w:val="auto"/>
          <w:sz w:val="21"/>
          <w:szCs w:val="21"/>
        </w:rPr>
        <w:t>。</w:t>
      </w:r>
    </w:p>
    <w:p w14:paraId="117193E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纸质及相关电子数据 </w:t>
      </w:r>
      <w:r>
        <w:rPr>
          <w:rFonts w:hint="eastAsia" w:ascii="宋体" w:hAnsi="宋体" w:eastAsia="宋体" w:cs="宋体"/>
          <w:color w:val="auto"/>
          <w:sz w:val="21"/>
          <w:szCs w:val="21"/>
        </w:rPr>
        <w:t>。</w:t>
      </w:r>
    </w:p>
    <w:p w14:paraId="78F26474">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（10）承包人应履行的其他义务：</w:t>
      </w:r>
    </w:p>
    <w:p w14:paraId="0D7F8470">
      <w:pPr>
        <w:spacing w:line="380" w:lineRule="exact"/>
        <w:ind w:firstLine="525" w:firstLineChars="250"/>
        <w:rPr>
          <w:rFonts w:ascii="宋体" w:hAnsi="宋体" w:eastAsia="宋体" w:cs="宋体"/>
          <w:color w:val="auto"/>
          <w:sz w:val="21"/>
          <w:szCs w:val="21"/>
          <w:u w:val="single"/>
        </w:rPr>
      </w:pPr>
      <w:r>
        <w:rPr>
          <w:rFonts w:hint="eastAsia" w:ascii="宋体" w:hAnsi="宋体" w:eastAsia="宋体" w:cs="宋体"/>
          <w:color w:val="auto"/>
          <w:sz w:val="21"/>
          <w:szCs w:val="21"/>
          <w:u w:val="single"/>
        </w:rPr>
        <w:t xml:space="preserve">a.向发包人、监理人提供施工现场办公室各1间免费使用。 </w:t>
      </w:r>
    </w:p>
    <w:p w14:paraId="209F441B">
      <w:pPr>
        <w:spacing w:line="380" w:lineRule="exact"/>
        <w:ind w:firstLine="525" w:firstLineChars="250"/>
        <w:rPr>
          <w:rFonts w:ascii="宋体" w:hAnsi="宋体" w:eastAsia="宋体" w:cs="宋体"/>
          <w:color w:val="auto"/>
          <w:sz w:val="21"/>
          <w:szCs w:val="21"/>
          <w:u w:val="single"/>
        </w:rPr>
      </w:pPr>
      <w:r>
        <w:rPr>
          <w:rFonts w:hint="eastAsia" w:ascii="宋体" w:hAnsi="宋体" w:eastAsia="宋体" w:cs="宋体"/>
          <w:color w:val="auto"/>
          <w:sz w:val="21"/>
          <w:szCs w:val="21"/>
          <w:u w:val="single"/>
        </w:rPr>
        <w:t>b.在施工中必须严格按照规范操作，对不按规范要求施工或未采取防护措施，造成的损失由承包人承担。</w:t>
      </w:r>
    </w:p>
    <w:p w14:paraId="04A3ED3F">
      <w:pPr>
        <w:spacing w:line="380" w:lineRule="exact"/>
        <w:ind w:firstLine="525" w:firstLineChars="250"/>
        <w:rPr>
          <w:rFonts w:ascii="宋体" w:hAnsi="宋体" w:eastAsia="宋体" w:cs="宋体"/>
          <w:color w:val="auto"/>
          <w:sz w:val="21"/>
          <w:szCs w:val="21"/>
          <w:u w:val="single"/>
        </w:rPr>
      </w:pPr>
      <w:r>
        <w:rPr>
          <w:rFonts w:hint="eastAsia" w:ascii="宋体" w:hAnsi="宋体" w:eastAsia="宋体" w:cs="宋体"/>
          <w:color w:val="auto"/>
          <w:sz w:val="21"/>
          <w:szCs w:val="21"/>
          <w:u w:val="single"/>
        </w:rPr>
        <w:t>c.本项目施工安全由承包人负总责。</w:t>
      </w:r>
    </w:p>
    <w:p w14:paraId="4EF11F2F">
      <w:pPr>
        <w:spacing w:line="380" w:lineRule="exact"/>
        <w:ind w:firstLine="531" w:firstLineChars="253"/>
        <w:rPr>
          <w:rFonts w:ascii="宋体" w:hAnsi="宋体" w:eastAsia="宋体" w:cs="宋体"/>
          <w:color w:val="auto"/>
          <w:kern w:val="0"/>
          <w:sz w:val="21"/>
          <w:szCs w:val="21"/>
          <w:u w:val="single"/>
        </w:rPr>
      </w:pPr>
      <w:r>
        <w:rPr>
          <w:rFonts w:hint="eastAsia" w:ascii="宋体" w:hAnsi="宋体" w:eastAsia="宋体" w:cs="宋体"/>
          <w:color w:val="auto"/>
          <w:sz w:val="21"/>
          <w:szCs w:val="21"/>
          <w:u w:val="single"/>
        </w:rPr>
        <w:t>d.按当地有关部门要求，</w:t>
      </w:r>
      <w:r>
        <w:rPr>
          <w:rFonts w:hint="eastAsia" w:ascii="宋体" w:hAnsi="宋体" w:eastAsia="宋体" w:cs="宋体"/>
          <w:color w:val="auto"/>
          <w:kern w:val="0"/>
          <w:sz w:val="21"/>
          <w:szCs w:val="21"/>
          <w:u w:val="single"/>
        </w:rPr>
        <w:t>由承包人办理有关施工场地交通、环卫和施工噪音排放等手续。</w:t>
      </w:r>
    </w:p>
    <w:p w14:paraId="3154FEB8">
      <w:pPr>
        <w:spacing w:line="380" w:lineRule="exact"/>
        <w:ind w:firstLine="531" w:firstLineChars="253"/>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（11）承包人诚实信用的承诺：</w:t>
      </w:r>
      <w:r>
        <w:rPr>
          <w:rFonts w:hint="eastAsia" w:ascii="宋体" w:hAnsi="宋体" w:eastAsia="宋体" w:cs="宋体"/>
          <w:color w:val="auto"/>
          <w:sz w:val="21"/>
          <w:szCs w:val="21"/>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color w:val="auto"/>
          <w:kern w:val="0"/>
          <w:sz w:val="21"/>
          <w:szCs w:val="21"/>
          <w:u w:val="single"/>
        </w:rPr>
        <w:t>。</w:t>
      </w:r>
    </w:p>
    <w:p w14:paraId="5900C3FE">
      <w:pPr>
        <w:spacing w:line="380" w:lineRule="exact"/>
        <w:ind w:firstLine="531" w:firstLineChars="253"/>
        <w:rPr>
          <w:rFonts w:ascii="宋体" w:hAnsi="宋体" w:eastAsia="宋体" w:cs="宋体"/>
          <w:color w:val="auto"/>
          <w:sz w:val="21"/>
          <w:szCs w:val="21"/>
          <w:u w:val="single"/>
        </w:rPr>
      </w:pPr>
      <w:r>
        <w:rPr>
          <w:rFonts w:hint="eastAsia" w:ascii="宋体" w:hAnsi="宋体" w:eastAsia="宋体" w:cs="宋体"/>
          <w:color w:val="auto"/>
          <w:kern w:val="0"/>
          <w:sz w:val="21"/>
          <w:szCs w:val="21"/>
        </w:rPr>
        <w:t>（12）承包人使用新技术、工法、工艺的承诺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w:t>
      </w:r>
      <w:r>
        <w:rPr>
          <w:rFonts w:hint="eastAsia" w:ascii="宋体" w:hAnsi="宋体" w:eastAsia="宋体" w:cs="宋体"/>
          <w:color w:val="auto"/>
          <w:kern w:val="0"/>
          <w:sz w:val="21"/>
          <w:szCs w:val="21"/>
          <w:u w:val="single"/>
        </w:rPr>
        <w:t xml:space="preserve">       。</w:t>
      </w:r>
    </w:p>
    <w:p w14:paraId="7C003A7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3.2 项目经理</w:t>
      </w:r>
    </w:p>
    <w:p w14:paraId="187A477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3.2.1</w:t>
      </w:r>
      <w:r>
        <w:rPr>
          <w:rFonts w:hint="eastAsia" w:ascii="宋体" w:hAnsi="宋体" w:eastAsia="宋体" w:cs="宋体"/>
          <w:color w:val="auto"/>
          <w:sz w:val="21"/>
          <w:szCs w:val="21"/>
        </w:rPr>
        <w:t>项目经理：</w:t>
      </w:r>
    </w:p>
    <w:p w14:paraId="6CFE0E1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041B1E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F70D7F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01A705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50B0DA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00F8F0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0009F5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A8CDF2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2F45EE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0042C4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承包人对项目经理的授权范围如下：</w:t>
      </w:r>
      <w:r>
        <w:rPr>
          <w:rFonts w:hint="eastAsia" w:ascii="宋体" w:hAnsi="宋体" w:eastAsia="宋体" w:cs="宋体"/>
          <w:color w:val="auto"/>
          <w:sz w:val="21"/>
          <w:szCs w:val="21"/>
          <w:u w:val="single"/>
        </w:rPr>
        <w:t>按通用合同条款</w:t>
      </w:r>
      <w:r>
        <w:rPr>
          <w:rFonts w:hint="eastAsia" w:ascii="宋体" w:hAnsi="宋体" w:eastAsia="宋体" w:cs="宋体"/>
          <w:color w:val="auto"/>
          <w:sz w:val="21"/>
          <w:szCs w:val="21"/>
        </w:rPr>
        <w:t>。</w:t>
      </w:r>
    </w:p>
    <w:p w14:paraId="13310B6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关于项目经理每月在施工现场的时间要求：</w:t>
      </w:r>
      <w:r>
        <w:rPr>
          <w:rFonts w:hint="eastAsia" w:ascii="宋体" w:hAnsi="宋体" w:eastAsia="宋体" w:cs="宋体"/>
          <w:color w:val="auto"/>
          <w:sz w:val="21"/>
          <w:szCs w:val="21"/>
          <w:u w:val="single"/>
        </w:rPr>
        <w:t>月到岗须不少于24天</w:t>
      </w:r>
      <w:r>
        <w:rPr>
          <w:rFonts w:hint="eastAsia" w:ascii="宋体" w:hAnsi="宋体" w:eastAsia="宋体" w:cs="宋体"/>
          <w:color w:val="auto"/>
          <w:sz w:val="21"/>
          <w:szCs w:val="21"/>
        </w:rPr>
        <w:t>；</w:t>
      </w:r>
    </w:p>
    <w:p w14:paraId="12429056">
      <w:pPr>
        <w:spacing w:line="380" w:lineRule="exact"/>
        <w:rPr>
          <w:rFonts w:ascii="宋体" w:hAnsi="宋体" w:eastAsia="宋体" w:cs="宋体"/>
          <w:color w:val="auto"/>
          <w:sz w:val="21"/>
          <w:szCs w:val="21"/>
        </w:rPr>
      </w:pPr>
      <w:r>
        <w:rPr>
          <w:rFonts w:hint="eastAsia" w:ascii="宋体" w:hAnsi="宋体" w:eastAsia="宋体" w:cs="宋体"/>
          <w:color w:val="auto"/>
          <w:sz w:val="21"/>
          <w:szCs w:val="21"/>
          <w:u w:val="single"/>
        </w:rPr>
        <w:t>月到岗达不到约定天数，按相关行业主管部发布的规定处理；遇有工程检查、验收或参观等活动时，无特殊原因不得</w:t>
      </w:r>
      <w:r>
        <w:rPr>
          <w:rFonts w:hint="eastAsia" w:ascii="宋体" w:hAnsi="宋体" w:eastAsia="宋体" w:cs="宋体"/>
          <w:color w:val="auto"/>
          <w:kern w:val="0"/>
          <w:sz w:val="21"/>
          <w:szCs w:val="21"/>
          <w:u w:val="single"/>
        </w:rPr>
        <w:t>离开施工现场。</w:t>
      </w:r>
    </w:p>
    <w:p w14:paraId="70F38829">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承包人未提交劳动合同，以及没有为项目经理缴纳社会保险证明的违约责任：</w:t>
      </w:r>
      <w:r>
        <w:rPr>
          <w:rFonts w:hint="eastAsia" w:ascii="宋体" w:hAnsi="宋体" w:eastAsia="宋体" w:cs="宋体"/>
          <w:color w:val="auto"/>
          <w:sz w:val="21"/>
          <w:szCs w:val="21"/>
          <w:u w:val="single"/>
        </w:rPr>
        <w:t>发包人有权要求更换项目经理，由此增加的费用和（或）延误的工期由承包人承担，并承担违约责任。</w:t>
      </w:r>
    </w:p>
    <w:p w14:paraId="6F90CCAB">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项目经理未经批准，擅自离开施工现场的违约责任：</w:t>
      </w:r>
      <w:r>
        <w:rPr>
          <w:rFonts w:hint="eastAsia" w:ascii="宋体" w:hAnsi="宋体" w:eastAsia="宋体" w:cs="宋体"/>
          <w:color w:val="auto"/>
          <w:sz w:val="21"/>
          <w:szCs w:val="21"/>
          <w:u w:val="single"/>
        </w:rPr>
        <w:t>月到岗须达到24天，不足天数，每天扣除履约担保金额的0.1%，每月结算，在当期工程款支付时扣除；连续三个月达不到要求且项目经理不能到岗的，一次性扣除履约担保金的15%（含前三个月已扣除的履约担保金），且发包人有权终止合同，没收全部履约担保金，同时由承包人赔偿发包人由此造成的损失。另遇有工程检查、验收或参观等活动时，无特殊原因不得离开施工现场。</w:t>
      </w:r>
    </w:p>
    <w:p w14:paraId="6426C8B9">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14:paraId="728B6DC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3.2.4承包人无正当理由拒绝更换项目经理的违约责任：</w:t>
      </w:r>
      <w:r>
        <w:rPr>
          <w:rFonts w:hint="eastAsia" w:ascii="宋体" w:hAnsi="宋体" w:eastAsia="宋体" w:cs="宋体"/>
          <w:color w:val="auto"/>
          <w:sz w:val="21"/>
          <w:szCs w:val="21"/>
          <w:u w:val="single"/>
        </w:rPr>
        <w:t>发包人可通知承包人解除合同，所有履约担保金归发包人。</w:t>
      </w:r>
    </w:p>
    <w:p w14:paraId="4BB987F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3.3 承包人人员</w:t>
      </w:r>
    </w:p>
    <w:p w14:paraId="7723FF0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3.3.1承包人提交项目管理机构及施工现场管理人员安排报告的期限：</w:t>
      </w:r>
      <w:r>
        <w:rPr>
          <w:rFonts w:hint="eastAsia" w:ascii="宋体" w:hAnsi="宋体" w:eastAsia="宋体" w:cs="宋体"/>
          <w:color w:val="auto"/>
          <w:sz w:val="21"/>
          <w:szCs w:val="21"/>
          <w:u w:val="single"/>
        </w:rPr>
        <w:t xml:space="preserve">接到开工通知后7天内 </w:t>
      </w:r>
      <w:r>
        <w:rPr>
          <w:rFonts w:hint="eastAsia" w:ascii="宋体" w:hAnsi="宋体" w:eastAsia="宋体" w:cs="宋体"/>
          <w:color w:val="auto"/>
          <w:sz w:val="21"/>
          <w:szCs w:val="21"/>
        </w:rPr>
        <w:t>。</w:t>
      </w:r>
    </w:p>
    <w:p w14:paraId="18F7AAB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3.3.3承包人无正当理由拒绝撤换主要施工管理人员的违约责任：</w:t>
      </w:r>
      <w:r>
        <w:rPr>
          <w:rFonts w:hint="eastAsia" w:ascii="宋体" w:hAnsi="宋体" w:eastAsia="宋体" w:cs="宋体"/>
          <w:color w:val="auto"/>
          <w:sz w:val="21"/>
          <w:szCs w:val="21"/>
          <w:u w:val="single"/>
        </w:rPr>
        <w:t>发包人可通知承包人解除合同，所有履约担保金归发包人</w:t>
      </w:r>
      <w:r>
        <w:rPr>
          <w:rFonts w:hint="eastAsia" w:ascii="宋体" w:hAnsi="宋体" w:eastAsia="宋体" w:cs="宋体"/>
          <w:color w:val="auto"/>
          <w:sz w:val="21"/>
          <w:szCs w:val="21"/>
        </w:rPr>
        <w:t>。</w:t>
      </w:r>
    </w:p>
    <w:p w14:paraId="3F557E38">
      <w:pPr>
        <w:spacing w:line="380" w:lineRule="exact"/>
        <w:ind w:firstLine="357" w:firstLineChars="170"/>
        <w:rPr>
          <w:rFonts w:ascii="宋体" w:hAnsi="宋体" w:eastAsia="宋体" w:cs="宋体"/>
          <w:color w:val="auto"/>
          <w:sz w:val="21"/>
          <w:szCs w:val="21"/>
          <w:u w:val="single"/>
        </w:rPr>
      </w:pPr>
      <w:r>
        <w:rPr>
          <w:rFonts w:hint="eastAsia" w:ascii="宋体" w:hAnsi="宋体" w:eastAsia="宋体" w:cs="宋体"/>
          <w:color w:val="auto"/>
          <w:sz w:val="21"/>
          <w:szCs w:val="21"/>
        </w:rPr>
        <w:t>3.3.4承包人主要施工管理人员离开施工现场的批准要求：</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；未经批准擅自离开施工现场按相关行业主管部发布的规定处理；另遇有工程检查、验收或参观等活动时，无特殊原因不得请假</w:t>
      </w:r>
      <w:r>
        <w:rPr>
          <w:rFonts w:hint="eastAsia" w:ascii="宋体" w:hAnsi="宋体" w:eastAsia="宋体" w:cs="宋体"/>
          <w:color w:val="auto"/>
          <w:sz w:val="21"/>
          <w:szCs w:val="21"/>
        </w:rPr>
        <w:t>。</w:t>
      </w:r>
    </w:p>
    <w:p w14:paraId="1DA473F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3.3.5承包人擅自更换主要施工管理人员的违约责任：</w:t>
      </w:r>
      <w:r>
        <w:rPr>
          <w:rFonts w:hint="eastAsia" w:ascii="宋体" w:hAnsi="宋体" w:eastAsia="宋体" w:cs="宋体"/>
          <w:color w:val="auto"/>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14:paraId="68E0C8DF">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3%（含前三个月已扣除的履约担保金），且发包人有权要求承包人更换该关键岗位人员。</w:t>
      </w:r>
    </w:p>
    <w:p w14:paraId="7A41949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w:t>
      </w:r>
      <w:bookmarkStart w:id="96" w:name="_Toc303539102"/>
      <w:bookmarkStart w:id="97" w:name="_Toc292559869"/>
      <w:bookmarkStart w:id="98" w:name="_Toc297123492"/>
      <w:bookmarkStart w:id="99" w:name="_Toc296891199"/>
      <w:bookmarkStart w:id="100" w:name="_Toc297120459"/>
      <w:bookmarkStart w:id="101" w:name="_Toc296503159"/>
      <w:bookmarkStart w:id="102" w:name="_Toc296944498"/>
      <w:bookmarkStart w:id="103" w:name="_Toc292559364"/>
      <w:bookmarkStart w:id="104" w:name="_Toc297216151"/>
      <w:bookmarkStart w:id="105" w:name="_Toc296347158"/>
      <w:bookmarkStart w:id="106" w:name="_Toc297048345"/>
      <w:bookmarkStart w:id="107" w:name="_Toc312677988"/>
      <w:bookmarkStart w:id="108" w:name="_Toc296890987"/>
      <w:bookmarkStart w:id="109" w:name="_Toc296346660"/>
      <w:bookmarkStart w:id="110" w:name="_Toc304295523"/>
      <w:bookmarkStart w:id="111" w:name="_Toc300934945"/>
      <w:r>
        <w:rPr>
          <w:rFonts w:hint="eastAsia" w:ascii="宋体" w:hAnsi="宋体" w:eastAsia="宋体" w:cs="宋体"/>
          <w:color w:val="auto"/>
          <w:sz w:val="21"/>
          <w:szCs w:val="21"/>
        </w:rPr>
        <w:t>.5 分包</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42492AAD">
      <w:pPr>
        <w:pageBreakBefore w:val="0"/>
        <w:kinsoku/>
        <w:wordWrap/>
        <w:overflowPunct/>
        <w:topLinePunct w:val="0"/>
        <w:bidi w:val="0"/>
        <w:spacing w:after="0" w:line="3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本工程</w:t>
      </w:r>
      <w:r>
        <w:rPr>
          <w:rFonts w:hint="eastAsia" w:ascii="宋体" w:hAnsi="宋体" w:eastAsia="宋体" w:cs="宋体"/>
          <w:color w:val="auto"/>
          <w:sz w:val="21"/>
          <w:szCs w:val="21"/>
          <w:lang w:eastAsia="zh-CN"/>
        </w:rPr>
        <w:t>不允许</w:t>
      </w:r>
      <w:r>
        <w:rPr>
          <w:rFonts w:hint="eastAsia" w:ascii="宋体" w:hAnsi="宋体" w:eastAsia="宋体" w:cs="宋体"/>
          <w:color w:val="auto"/>
          <w:sz w:val="21"/>
          <w:szCs w:val="21"/>
        </w:rPr>
        <w:t>分包。</w:t>
      </w:r>
    </w:p>
    <w:p w14:paraId="463021D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3.6 工程照管与成品、半成品保护</w:t>
      </w:r>
    </w:p>
    <w:p w14:paraId="137B1DA2">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承包人负责照管工程及工程相关的材料、工程设备的起始时间：</w:t>
      </w:r>
      <w:r>
        <w:rPr>
          <w:rFonts w:hint="eastAsia" w:ascii="宋体" w:hAnsi="宋体" w:eastAsia="宋体" w:cs="宋体"/>
          <w:color w:val="auto"/>
          <w:kern w:val="0"/>
          <w:sz w:val="21"/>
          <w:szCs w:val="21"/>
          <w:u w:val="single"/>
          <w:lang w:eastAsia="zh-CN"/>
        </w:rPr>
        <w:t>按合同通用条款</w:t>
      </w:r>
      <w:r>
        <w:rPr>
          <w:rFonts w:hint="eastAsia" w:ascii="宋体" w:hAnsi="宋体" w:eastAsia="宋体" w:cs="宋体"/>
          <w:color w:val="auto"/>
          <w:kern w:val="0"/>
          <w:sz w:val="21"/>
          <w:szCs w:val="21"/>
          <w:u w:val="single"/>
        </w:rPr>
        <w:t>执行</w:t>
      </w:r>
      <w:r>
        <w:rPr>
          <w:rFonts w:hint="eastAsia" w:ascii="宋体" w:hAnsi="宋体" w:eastAsia="宋体" w:cs="宋体"/>
          <w:color w:val="auto"/>
          <w:kern w:val="0"/>
          <w:sz w:val="21"/>
          <w:szCs w:val="21"/>
        </w:rPr>
        <w:t>。</w:t>
      </w:r>
    </w:p>
    <w:p w14:paraId="47CD872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3.7 履约担保</w:t>
      </w:r>
    </w:p>
    <w:p w14:paraId="504EF2E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承包人是否提供履约担保：</w:t>
      </w:r>
      <w:r>
        <w:rPr>
          <w:rFonts w:hint="eastAsia" w:ascii="宋体" w:hAnsi="宋体" w:eastAsia="宋体" w:cs="宋体"/>
          <w:color w:val="auto"/>
          <w:sz w:val="21"/>
          <w:szCs w:val="21"/>
          <w:u w:val="single"/>
        </w:rPr>
        <w:t>提供履约担保</w:t>
      </w:r>
      <w:r>
        <w:rPr>
          <w:rFonts w:hint="eastAsia" w:ascii="宋体" w:hAnsi="宋体" w:eastAsia="宋体" w:cs="宋体"/>
          <w:color w:val="auto"/>
          <w:sz w:val="21"/>
          <w:szCs w:val="21"/>
        </w:rPr>
        <w:t>。</w:t>
      </w:r>
    </w:p>
    <w:p w14:paraId="7765C7B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w:t>
      </w:r>
      <w:r>
        <w:rPr>
          <w:rFonts w:hint="eastAsia" w:ascii="宋体" w:hAnsi="宋体" w:eastAsia="宋体" w:cs="宋体"/>
          <w:color w:val="auto"/>
          <w:sz w:val="21"/>
          <w:szCs w:val="21"/>
          <w:u w:val="single"/>
        </w:rPr>
        <w:t>签订工程合同时提供履约担保，形式为保函或现金，金额为签约</w:t>
      </w:r>
      <w:r>
        <w:rPr>
          <w:rFonts w:hint="eastAsia" w:ascii="宋体" w:hAnsi="宋体" w:eastAsia="宋体" w:cs="宋体"/>
          <w:color w:val="auto"/>
          <w:sz w:val="21"/>
          <w:szCs w:val="21"/>
          <w:u w:val="single"/>
          <w:lang w:eastAsia="zh-CN"/>
        </w:rPr>
        <w:t>合同价的1%</w:t>
      </w:r>
      <w:r>
        <w:rPr>
          <w:rFonts w:hint="eastAsia" w:ascii="宋体" w:hAnsi="宋体" w:eastAsia="宋体" w:cs="宋体"/>
          <w:color w:val="auto"/>
          <w:sz w:val="21"/>
          <w:szCs w:val="21"/>
        </w:rPr>
        <w:t>。</w:t>
      </w:r>
    </w:p>
    <w:p w14:paraId="439F63F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发包人在工程竣工验收后10天内，向承包人全额返还；承包人应保证履约担保在工程竣工验收前持续有效。</w:t>
      </w:r>
    </w:p>
    <w:p w14:paraId="3D77E573">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非承包人原因导致的工期延长，承包人继续提供履约担保所增加的费用由发包人承担。</w:t>
      </w:r>
    </w:p>
    <w:p w14:paraId="65FF0F06">
      <w:pPr>
        <w:pStyle w:val="7"/>
        <w:keepNext w:val="0"/>
        <w:keepLines w:val="0"/>
        <w:spacing w:before="0" w:after="0" w:line="380" w:lineRule="exact"/>
        <w:rPr>
          <w:rFonts w:ascii="宋体" w:hAnsi="宋体" w:cs="宋体"/>
          <w:b w:val="0"/>
          <w:color w:val="auto"/>
          <w:sz w:val="21"/>
          <w:szCs w:val="21"/>
        </w:rPr>
      </w:pPr>
      <w:bookmarkStart w:id="112" w:name="_Toc351203636"/>
      <w:r>
        <w:rPr>
          <w:rFonts w:hint="eastAsia" w:ascii="宋体" w:hAnsi="宋体" w:cs="宋体"/>
          <w:b w:val="0"/>
          <w:color w:val="auto"/>
          <w:sz w:val="21"/>
          <w:szCs w:val="21"/>
        </w:rPr>
        <w:t>4</w:t>
      </w:r>
      <w:bookmarkStart w:id="113" w:name="_Toc296503162"/>
      <w:bookmarkStart w:id="114" w:name="_Toc297048348"/>
      <w:bookmarkStart w:id="115" w:name="_Toc296347161"/>
      <w:bookmarkStart w:id="116" w:name="_Toc296891202"/>
      <w:bookmarkStart w:id="117" w:name="_Toc296346663"/>
      <w:bookmarkStart w:id="118" w:name="_Toc296890990"/>
      <w:bookmarkStart w:id="119" w:name="_Toc267251413"/>
      <w:bookmarkStart w:id="120" w:name="_Toc296944501"/>
      <w:bookmarkStart w:id="121" w:name="_Toc292559871"/>
      <w:bookmarkStart w:id="122" w:name="_Toc297120462"/>
      <w:bookmarkStart w:id="123" w:name="_Toc292559366"/>
      <w:r>
        <w:rPr>
          <w:rFonts w:hint="eastAsia" w:ascii="宋体" w:hAnsi="宋体" w:cs="宋体"/>
          <w:b w:val="0"/>
          <w:color w:val="auto"/>
          <w:sz w:val="21"/>
          <w:szCs w:val="21"/>
        </w:rPr>
        <w:t>．监</w:t>
      </w:r>
      <w:bookmarkEnd w:id="113"/>
      <w:bookmarkEnd w:id="114"/>
      <w:bookmarkEnd w:id="115"/>
      <w:bookmarkEnd w:id="116"/>
      <w:bookmarkEnd w:id="117"/>
      <w:bookmarkEnd w:id="118"/>
      <w:bookmarkEnd w:id="119"/>
      <w:bookmarkEnd w:id="120"/>
      <w:bookmarkEnd w:id="121"/>
      <w:bookmarkEnd w:id="122"/>
      <w:bookmarkEnd w:id="123"/>
      <w:r>
        <w:rPr>
          <w:rFonts w:hint="eastAsia" w:ascii="宋体" w:hAnsi="宋体" w:cs="宋体"/>
          <w:b w:val="0"/>
          <w:color w:val="auto"/>
          <w:sz w:val="21"/>
          <w:szCs w:val="21"/>
        </w:rPr>
        <w:t>理人</w:t>
      </w:r>
      <w:bookmarkEnd w:id="112"/>
    </w:p>
    <w:p w14:paraId="00955C2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4.1监理人的一般规定</w:t>
      </w:r>
    </w:p>
    <w:p w14:paraId="0FC89D4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按本工程监理合同约定内容</w:t>
      </w:r>
      <w:r>
        <w:rPr>
          <w:rFonts w:hint="eastAsia" w:ascii="宋体" w:hAnsi="宋体" w:eastAsia="宋体" w:cs="宋体"/>
          <w:color w:val="auto"/>
          <w:sz w:val="21"/>
          <w:szCs w:val="21"/>
        </w:rPr>
        <w:t>。</w:t>
      </w:r>
    </w:p>
    <w:p w14:paraId="1E4688F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按本工程监理合同约定内容，涉及工程变更（含设计变更等参建各方变更）均需报发包人审批后生效</w:t>
      </w:r>
      <w:r>
        <w:rPr>
          <w:rFonts w:hint="eastAsia" w:ascii="宋体" w:hAnsi="宋体" w:eastAsia="宋体" w:cs="宋体"/>
          <w:color w:val="auto"/>
          <w:sz w:val="21"/>
          <w:szCs w:val="21"/>
        </w:rPr>
        <w:t>〕。</w:t>
      </w:r>
    </w:p>
    <w:p w14:paraId="5C670FD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关于监理人在施工现场的办公场所、生活场所的提供和费用承担的约定：</w:t>
      </w:r>
      <w:r>
        <w:rPr>
          <w:rFonts w:hint="eastAsia" w:ascii="宋体" w:hAnsi="宋体" w:eastAsia="宋体" w:cs="宋体"/>
          <w:color w:val="auto"/>
          <w:sz w:val="21"/>
          <w:szCs w:val="21"/>
          <w:u w:val="single"/>
        </w:rPr>
        <w:t xml:space="preserve"> 由承包人免费提供办公室1间使用。</w:t>
      </w:r>
    </w:p>
    <w:p w14:paraId="7B862D0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4.2 监理人员</w:t>
      </w:r>
    </w:p>
    <w:p w14:paraId="0FE417D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总监理工程师：</w:t>
      </w:r>
    </w:p>
    <w:p w14:paraId="72A449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0956D5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AA198B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33809A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6F5006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21D8EB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2DB64C2">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关于监理人的其他约定：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AF16BD3">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（1）监理人授权超出合同约定，承包人有权提出异议，如监理人对于承包人合理的异议不予接受，则承包人可要求发包人就该事项作出处理决定；</w:t>
      </w:r>
    </w:p>
    <w:p w14:paraId="621D03B4">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（2）对于监理人更换其委派的监理人员，监理人在征得发包人同意后应当提前48小时书面通知承包人；</w:t>
      </w:r>
    </w:p>
    <w:p w14:paraId="5765463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（3）监理人对其监理人员的任何授权，承包人均有权要求监理人提供书面的授权文件，否则，承包人有权拒绝接受监理人员的指示。</w:t>
      </w:r>
    </w:p>
    <w:p w14:paraId="298C0D9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4.4 商定或确定</w:t>
      </w:r>
    </w:p>
    <w:p w14:paraId="4D066A6B">
      <w:pPr>
        <w:spacing w:line="380" w:lineRule="exact"/>
        <w:ind w:firstLine="420" w:firstLineChars="200"/>
        <w:rPr>
          <w:rFonts w:ascii="宋体" w:hAnsi="宋体" w:eastAsia="宋体" w:cs="宋体"/>
          <w:color w:val="auto"/>
          <w:sz w:val="21"/>
          <w:szCs w:val="21"/>
        </w:rPr>
      </w:pPr>
      <w:bookmarkStart w:id="124" w:name="_Toc267251418"/>
      <w:r>
        <w:rPr>
          <w:rFonts w:hint="eastAsia" w:ascii="宋体" w:hAnsi="宋体" w:eastAsia="宋体" w:cs="宋体"/>
          <w:color w:val="auto"/>
          <w:sz w:val="21"/>
          <w:szCs w:val="21"/>
        </w:rPr>
        <w:t>在发包人和承包人不能通过协商达成一致意见时，发包人授权监理人对以下事项进行确定：</w:t>
      </w:r>
    </w:p>
    <w:p w14:paraId="3FDC8E96">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sz w:val="21"/>
          <w:szCs w:val="21"/>
          <w:u w:val="single"/>
        </w:rPr>
        <w:t>按通用合同条款执行</w:t>
      </w:r>
      <w:r>
        <w:rPr>
          <w:rFonts w:hint="eastAsia" w:ascii="宋体" w:hAnsi="宋体" w:eastAsia="宋体" w:cs="宋体"/>
          <w:color w:val="auto"/>
          <w:sz w:val="21"/>
          <w:szCs w:val="21"/>
        </w:rPr>
        <w:t>；</w:t>
      </w:r>
    </w:p>
    <w:p w14:paraId="68DC4013">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2CD2AC6">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75A4AAA">
      <w:pPr>
        <w:pStyle w:val="7"/>
        <w:keepNext w:val="0"/>
        <w:keepLines w:val="0"/>
        <w:spacing w:before="0" w:after="0" w:line="380" w:lineRule="exact"/>
        <w:rPr>
          <w:rFonts w:ascii="宋体" w:hAnsi="宋体" w:cs="宋体"/>
          <w:b w:val="0"/>
          <w:color w:val="auto"/>
          <w:sz w:val="21"/>
          <w:szCs w:val="21"/>
        </w:rPr>
      </w:pPr>
      <w:bookmarkStart w:id="125" w:name="_Toc351203637"/>
      <w:r>
        <w:rPr>
          <w:rFonts w:hint="eastAsia" w:ascii="宋体" w:hAnsi="宋体" w:cs="宋体"/>
          <w:b w:val="0"/>
          <w:color w:val="auto"/>
          <w:sz w:val="21"/>
          <w:szCs w:val="21"/>
        </w:rPr>
        <w:t>5</w:t>
      </w:r>
      <w:bookmarkEnd w:id="124"/>
      <w:bookmarkStart w:id="126" w:name="_Toc292559367"/>
      <w:bookmarkStart w:id="127" w:name="_Toc292559872"/>
      <w:bookmarkStart w:id="128" w:name="_Toc297120463"/>
      <w:bookmarkStart w:id="129" w:name="_Toc296891203"/>
      <w:bookmarkStart w:id="130" w:name="_Toc296503163"/>
      <w:bookmarkStart w:id="131" w:name="_Toc296890991"/>
      <w:bookmarkStart w:id="132" w:name="_Toc296347162"/>
      <w:bookmarkStart w:id="133" w:name="_Toc296944502"/>
      <w:bookmarkStart w:id="134" w:name="_Toc296346664"/>
      <w:bookmarkStart w:id="135" w:name="_Toc297048349"/>
      <w:r>
        <w:rPr>
          <w:rFonts w:hint="eastAsia" w:ascii="宋体" w:hAnsi="宋体" w:cs="宋体"/>
          <w:b w:val="0"/>
          <w:color w:val="auto"/>
          <w:sz w:val="21"/>
          <w:szCs w:val="21"/>
        </w:rPr>
        <w:t>．工程质量</w:t>
      </w:r>
      <w:bookmarkEnd w:id="125"/>
    </w:p>
    <w:p w14:paraId="1440AEF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5.1 质量要求</w:t>
      </w:r>
    </w:p>
    <w:p w14:paraId="0998CA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w:t>
      </w:r>
      <w:bookmarkStart w:id="136" w:name="_Toc318581164"/>
      <w:bookmarkStart w:id="137" w:name="_Toc297216155"/>
      <w:bookmarkStart w:id="138" w:name="_Toc304295527"/>
      <w:bookmarkStart w:id="139" w:name="_Toc312677997"/>
      <w:bookmarkStart w:id="140" w:name="_Toc297123496"/>
      <w:bookmarkStart w:id="141" w:name="_Toc300934949"/>
      <w:bookmarkStart w:id="142" w:name="_Toc303539106"/>
      <w:r>
        <w:rPr>
          <w:rFonts w:hint="eastAsia" w:ascii="宋体" w:hAnsi="宋体" w:eastAsia="宋体" w:cs="宋体"/>
          <w:color w:val="auto"/>
          <w:sz w:val="21"/>
          <w:szCs w:val="21"/>
        </w:rPr>
        <w:t>.1.1特殊质量标准和要求：</w:t>
      </w:r>
      <w:r>
        <w:rPr>
          <w:rFonts w:hint="eastAsia" w:ascii="宋体" w:hAnsi="宋体" w:eastAsia="宋体" w:cs="宋体"/>
          <w:color w:val="auto"/>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1794BE3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关于工程质量奖项的约定：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3FB542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5.3 隐蔽工程检查</w:t>
      </w:r>
    </w:p>
    <w:p w14:paraId="1C8D5A9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执行。</w:t>
      </w:r>
    </w:p>
    <w:p w14:paraId="6DA2FAF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小时提交书面延期要求。</w:t>
      </w:r>
    </w:p>
    <w:p w14:paraId="214509D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小时，由此导致工期延误的，工期予以顺延。</w:t>
      </w:r>
    </w:p>
    <w:p w14:paraId="4EDDE185">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重要节点的隐蔽工程验收过程、验收部位除办理纸质验收记录，承包人还应保留验收部位、验收过程、验收人员相片、影像等资料。</w:t>
      </w:r>
    </w:p>
    <w:p w14:paraId="7DC848D7">
      <w:pPr>
        <w:pStyle w:val="7"/>
        <w:keepNext w:val="0"/>
        <w:keepLines w:val="0"/>
        <w:spacing w:before="0" w:after="0" w:line="380" w:lineRule="exact"/>
        <w:rPr>
          <w:rFonts w:ascii="宋体" w:hAnsi="宋体" w:cs="宋体"/>
          <w:b w:val="0"/>
          <w:color w:val="auto"/>
          <w:sz w:val="21"/>
          <w:szCs w:val="21"/>
        </w:rPr>
      </w:pPr>
      <w:bookmarkStart w:id="143" w:name="_Toc351203638"/>
      <w:r>
        <w:rPr>
          <w:rFonts w:hint="eastAsia" w:ascii="宋体" w:hAnsi="宋体" w:cs="宋体"/>
          <w:b w:val="0"/>
          <w:color w:val="auto"/>
          <w:sz w:val="21"/>
          <w:szCs w:val="21"/>
        </w:rPr>
        <w:t>6．安全文明施工与环境保护</w:t>
      </w:r>
      <w:bookmarkEnd w:id="143"/>
    </w:p>
    <w:p w14:paraId="5AB788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6.1安全文明施工</w:t>
      </w:r>
    </w:p>
    <w:p w14:paraId="2630548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6.1.1项目安全生产的达标目标及相应事项的约定：</w:t>
      </w:r>
      <w:r>
        <w:rPr>
          <w:rFonts w:hint="eastAsia" w:ascii="宋体" w:hAnsi="宋体" w:eastAsia="宋体" w:cs="宋体"/>
          <w:color w:val="auto"/>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3F89683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6.1.4关于治安保卫的特别约定：</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0C1AF45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4A7AAFA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6.1.5文明施工</w:t>
      </w:r>
    </w:p>
    <w:p w14:paraId="04C23C28">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合同当事人对文明施工的要求：</w:t>
      </w:r>
      <w:r>
        <w:rPr>
          <w:rFonts w:hint="eastAsia" w:ascii="宋体" w:hAnsi="宋体" w:eastAsia="宋体" w:cs="宋体"/>
          <w:color w:val="auto"/>
          <w:sz w:val="21"/>
          <w:szCs w:val="21"/>
          <w:u w:val="single"/>
        </w:rPr>
        <w:t>按省、市发有关文明施工管理规定执行</w:t>
      </w:r>
      <w:r>
        <w:rPr>
          <w:rFonts w:hint="eastAsia" w:ascii="宋体" w:hAnsi="宋体" w:eastAsia="宋体" w:cs="宋体"/>
          <w:color w:val="auto"/>
          <w:sz w:val="21"/>
          <w:szCs w:val="21"/>
        </w:rPr>
        <w:t>。</w:t>
      </w:r>
    </w:p>
    <w:p w14:paraId="408757B3">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6.1.6关于安全文明施工费支付比例和支付期限的约定：安</w:t>
      </w:r>
      <w:r>
        <w:rPr>
          <w:rFonts w:hint="eastAsia" w:ascii="宋体" w:hAnsi="宋体" w:eastAsia="宋体" w:cs="宋体"/>
          <w:color w:val="auto"/>
          <w:sz w:val="21"/>
          <w:szCs w:val="21"/>
          <w:u w:val="single"/>
        </w:rPr>
        <w:t>全文明施工费预付费用包含在工程预付款内，与工程预付款一并支付，支付比例为安全文明施工费（不含创标化工地增加费）总额的（50）%，其余部分与进度款同期支付。安全文明施工费承包人应专款专用，在财务账目中应单独列项</w:t>
      </w:r>
      <w:r>
        <w:rPr>
          <w:rFonts w:hint="eastAsia" w:ascii="宋体" w:hAnsi="宋体" w:eastAsia="宋体" w:cs="宋体"/>
          <w:color w:val="auto"/>
          <w:sz w:val="21"/>
          <w:szCs w:val="21"/>
        </w:rPr>
        <w:t>。</w:t>
      </w:r>
    </w:p>
    <w:p w14:paraId="1D6E805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安全文明施工费包含在合同价内。承包人经发包人同意采取合同约定以外的安全措施所产生的费用，由发、承包人协商处理；未经发包人同意，发包人可不承担由此增加费用；</w:t>
      </w:r>
    </w:p>
    <w:bookmarkEnd w:id="136"/>
    <w:bookmarkEnd w:id="137"/>
    <w:bookmarkEnd w:id="138"/>
    <w:bookmarkEnd w:id="139"/>
    <w:bookmarkEnd w:id="140"/>
    <w:bookmarkEnd w:id="141"/>
    <w:bookmarkEnd w:id="142"/>
    <w:p w14:paraId="43792F04">
      <w:pPr>
        <w:pStyle w:val="7"/>
        <w:keepNext w:val="0"/>
        <w:keepLines w:val="0"/>
        <w:spacing w:before="0" w:after="0" w:line="380" w:lineRule="exact"/>
        <w:rPr>
          <w:rFonts w:ascii="宋体" w:hAnsi="宋体" w:cs="宋体"/>
          <w:b w:val="0"/>
          <w:color w:val="auto"/>
          <w:sz w:val="21"/>
          <w:szCs w:val="21"/>
        </w:rPr>
      </w:pPr>
      <w:bookmarkStart w:id="144" w:name="_Toc351203639"/>
      <w:r>
        <w:rPr>
          <w:rFonts w:hint="eastAsia" w:ascii="宋体" w:hAnsi="宋体" w:cs="宋体"/>
          <w:b w:val="0"/>
          <w:color w:val="auto"/>
          <w:sz w:val="21"/>
          <w:szCs w:val="21"/>
        </w:rPr>
        <w:t>7．工期和进度</w:t>
      </w:r>
      <w:bookmarkEnd w:id="144"/>
    </w:p>
    <w:p w14:paraId="24F2B0B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7.1 施工组织设计</w:t>
      </w:r>
    </w:p>
    <w:p w14:paraId="35737520">
      <w:pPr>
        <w:autoSpaceDE w:val="0"/>
        <w:autoSpaceDN w:val="0"/>
        <w:adjustRightInd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7.1.1合</w:t>
      </w:r>
      <w:r>
        <w:rPr>
          <w:rFonts w:hint="eastAsia" w:ascii="宋体" w:hAnsi="宋体" w:eastAsia="宋体" w:cs="宋体"/>
          <w:color w:val="auto"/>
          <w:kern w:val="0"/>
          <w:sz w:val="21"/>
          <w:szCs w:val="21"/>
        </w:rPr>
        <w:t>同当事人约定的施工组织设计应包括的其他内容：</w:t>
      </w:r>
      <w:r>
        <w:rPr>
          <w:rFonts w:hint="eastAsia" w:ascii="宋体" w:hAnsi="宋体" w:eastAsia="宋体" w:cs="宋体"/>
          <w:color w:val="auto"/>
          <w:sz w:val="21"/>
          <w:szCs w:val="21"/>
          <w:u w:val="single"/>
        </w:rPr>
        <w:t>对特殊工艺施工、危险性较大分部分项工程施工,应按规定组织专家论证及办理审批手续。</w:t>
      </w:r>
    </w:p>
    <w:p w14:paraId="3865E948">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3D2B5F4D">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7.1.2</w:t>
      </w:r>
      <w:r>
        <w:rPr>
          <w:rFonts w:hint="eastAsia" w:ascii="宋体" w:hAnsi="宋体" w:eastAsia="宋体" w:cs="宋体"/>
          <w:color w:val="auto"/>
          <w:kern w:val="0"/>
          <w:sz w:val="21"/>
          <w:szCs w:val="21"/>
        </w:rPr>
        <w:t>施工组织设计的提交和修改</w:t>
      </w:r>
    </w:p>
    <w:p w14:paraId="2974BF9E">
      <w:pPr>
        <w:autoSpaceDE w:val="0"/>
        <w:autoSpaceDN w:val="0"/>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承包人提交详细施工组织设计的期限的约定：</w:t>
      </w:r>
      <w:r>
        <w:rPr>
          <w:rFonts w:hint="eastAsia" w:ascii="宋体" w:hAnsi="宋体" w:eastAsia="宋体" w:cs="宋体"/>
          <w:color w:val="auto"/>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宋体" w:hAnsi="宋体" w:eastAsia="宋体" w:cs="宋体"/>
          <w:color w:val="auto"/>
          <w:sz w:val="21"/>
          <w:szCs w:val="21"/>
        </w:rPr>
        <w:t>；</w:t>
      </w:r>
    </w:p>
    <w:p w14:paraId="1F1A266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收到相应文件后7天内</w:t>
      </w:r>
      <w:r>
        <w:rPr>
          <w:rFonts w:hint="eastAsia" w:ascii="宋体" w:hAnsi="宋体" w:eastAsia="宋体" w:cs="宋体"/>
          <w:color w:val="auto"/>
          <w:sz w:val="21"/>
          <w:szCs w:val="21"/>
        </w:rPr>
        <w:t>。</w:t>
      </w:r>
    </w:p>
    <w:p w14:paraId="4629080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w:t>
      </w:r>
      <w:bookmarkStart w:id="145" w:name="_Toc297123514"/>
      <w:bookmarkStart w:id="146" w:name="_Toc312677479"/>
      <w:bookmarkStart w:id="147" w:name="_Toc312678005"/>
      <w:bookmarkStart w:id="148" w:name="_Toc297216173"/>
      <w:bookmarkStart w:id="149" w:name="_Toc300934966"/>
      <w:bookmarkStart w:id="150" w:name="_Toc304295541"/>
      <w:bookmarkStart w:id="151" w:name="_Toc303539123"/>
      <w:r>
        <w:rPr>
          <w:rFonts w:hint="eastAsia" w:ascii="宋体" w:hAnsi="宋体" w:eastAsia="宋体" w:cs="宋体"/>
          <w:color w:val="auto"/>
          <w:sz w:val="21"/>
          <w:szCs w:val="21"/>
        </w:rPr>
        <w:t>.2 施工进度计划</w:t>
      </w:r>
    </w:p>
    <w:p w14:paraId="00EAA45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7.2.2施工进度计划的修订</w:t>
      </w:r>
    </w:p>
    <w:p w14:paraId="054E38B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收到相应文件后7天内 </w:t>
      </w:r>
      <w:r>
        <w:rPr>
          <w:rFonts w:hint="eastAsia" w:ascii="宋体" w:hAnsi="宋体" w:eastAsia="宋体" w:cs="宋体"/>
          <w:color w:val="auto"/>
          <w:sz w:val="21"/>
          <w:szCs w:val="21"/>
        </w:rPr>
        <w:t>。</w:t>
      </w:r>
    </w:p>
    <w:p w14:paraId="5057F2A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7.3 开工</w:t>
      </w:r>
    </w:p>
    <w:p w14:paraId="07F9F51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7.3.1开工准备</w:t>
      </w:r>
    </w:p>
    <w:p w14:paraId="248D8BFC">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关于承包人提交</w:t>
      </w:r>
      <w:r>
        <w:rPr>
          <w:rFonts w:hint="eastAsia" w:ascii="宋体" w:hAnsi="宋体" w:eastAsia="宋体" w:cs="宋体"/>
          <w:color w:val="auto"/>
          <w:kern w:val="0"/>
          <w:sz w:val="21"/>
          <w:szCs w:val="21"/>
        </w:rPr>
        <w:t>工程开工报审表的期限：</w:t>
      </w:r>
      <w:r>
        <w:rPr>
          <w:rFonts w:hint="eastAsia" w:ascii="宋体" w:hAnsi="宋体" w:eastAsia="宋体" w:cs="宋体"/>
          <w:color w:val="auto"/>
          <w:sz w:val="21"/>
          <w:szCs w:val="21"/>
          <w:u w:val="single"/>
        </w:rPr>
        <w:t xml:space="preserve">接到开工通知（或确定开工日期）后7天内 </w:t>
      </w:r>
      <w:r>
        <w:rPr>
          <w:rFonts w:hint="eastAsia" w:ascii="宋体" w:hAnsi="宋体" w:eastAsia="宋体" w:cs="宋体"/>
          <w:color w:val="auto"/>
          <w:sz w:val="21"/>
          <w:szCs w:val="21"/>
        </w:rPr>
        <w:t>。</w:t>
      </w:r>
    </w:p>
    <w:p w14:paraId="1CEC59B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开工前7天</w:t>
      </w:r>
      <w:r>
        <w:rPr>
          <w:rFonts w:hint="eastAsia" w:ascii="宋体" w:hAnsi="宋体" w:eastAsia="宋体" w:cs="宋体"/>
          <w:color w:val="auto"/>
          <w:sz w:val="21"/>
          <w:szCs w:val="21"/>
        </w:rPr>
        <w:t>。</w:t>
      </w:r>
    </w:p>
    <w:p w14:paraId="5579760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开工前。</w:t>
      </w:r>
    </w:p>
    <w:p w14:paraId="00575B6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7.3.2开工通知</w:t>
      </w:r>
    </w:p>
    <w:p w14:paraId="334062B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发包人（或监理人）在计划开工日期前7天向承包人发出开工通知，工期自开工通知中载明的开工日期起算。</w:t>
      </w:r>
    </w:p>
    <w:p w14:paraId="33043E50">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5"/>
    <w:bookmarkEnd w:id="146"/>
    <w:bookmarkEnd w:id="147"/>
    <w:bookmarkEnd w:id="148"/>
    <w:bookmarkEnd w:id="149"/>
    <w:bookmarkEnd w:id="150"/>
    <w:bookmarkEnd w:id="151"/>
    <w:p w14:paraId="19038CF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7.4 测量放线</w:t>
      </w:r>
    </w:p>
    <w:p w14:paraId="488E2829">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7.4.1发包人通过监理人向承包人提供测量基准点、基准线和水准点及其书面资料的期限：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 xml:space="preserve">执行 </w:t>
      </w:r>
      <w:r>
        <w:rPr>
          <w:rFonts w:hint="eastAsia" w:ascii="宋体" w:hAnsi="宋体" w:eastAsia="宋体" w:cs="宋体"/>
          <w:color w:val="auto"/>
          <w:sz w:val="21"/>
          <w:szCs w:val="21"/>
        </w:rPr>
        <w:t>。</w:t>
      </w:r>
    </w:p>
    <w:p w14:paraId="2E838D8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w:t>
      </w:r>
      <w:bookmarkStart w:id="152" w:name="_Toc304295546"/>
      <w:bookmarkStart w:id="153" w:name="_Toc312677484"/>
      <w:bookmarkStart w:id="154" w:name="_Toc312678010"/>
      <w:bookmarkStart w:id="155" w:name="_Toc297123516"/>
      <w:bookmarkStart w:id="156" w:name="_Toc300934968"/>
      <w:bookmarkStart w:id="157" w:name="_Toc303539125"/>
      <w:bookmarkStart w:id="158" w:name="_Toc297216175"/>
      <w:r>
        <w:rPr>
          <w:rFonts w:hint="eastAsia" w:ascii="宋体" w:hAnsi="宋体" w:eastAsia="宋体" w:cs="宋体"/>
          <w:color w:val="auto"/>
          <w:sz w:val="21"/>
          <w:szCs w:val="21"/>
        </w:rPr>
        <w:t>.5 工期延误</w:t>
      </w:r>
    </w:p>
    <w:bookmarkEnd w:id="152"/>
    <w:bookmarkEnd w:id="153"/>
    <w:bookmarkEnd w:id="154"/>
    <w:bookmarkEnd w:id="155"/>
    <w:bookmarkEnd w:id="156"/>
    <w:bookmarkEnd w:id="157"/>
    <w:bookmarkEnd w:id="158"/>
    <w:p w14:paraId="7B62DF8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7.5.1因发包人原因导致工期延误</w:t>
      </w:r>
    </w:p>
    <w:p w14:paraId="651704A7">
      <w:pPr>
        <w:spacing w:line="380" w:lineRule="exact"/>
        <w:ind w:firstLine="315" w:firstLineChars="150"/>
        <w:rPr>
          <w:rFonts w:ascii="宋体" w:hAnsi="宋体" w:eastAsia="宋体" w:cs="宋体"/>
          <w:color w:val="auto"/>
          <w:sz w:val="21"/>
          <w:szCs w:val="21"/>
          <w:u w:val="single"/>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①重大设计变更；②因政策处理不完善导致无法施工</w:t>
      </w:r>
      <w:r>
        <w:rPr>
          <w:rFonts w:hint="eastAsia" w:ascii="宋体" w:hAnsi="宋体" w:eastAsia="宋体" w:cs="宋体"/>
          <w:color w:val="auto"/>
          <w:sz w:val="21"/>
          <w:szCs w:val="21"/>
        </w:rPr>
        <w:t>。</w:t>
      </w:r>
    </w:p>
    <w:p w14:paraId="502346F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w:t>
      </w:r>
      <w:bookmarkStart w:id="159" w:name="_Toc312677486"/>
      <w:bookmarkStart w:id="160" w:name="_Toc318581169"/>
      <w:bookmarkStart w:id="161" w:name="_Toc312678012"/>
      <w:bookmarkStart w:id="162" w:name="_Toc297216177"/>
      <w:bookmarkStart w:id="163" w:name="_Toc304295548"/>
      <w:bookmarkStart w:id="164" w:name="_Toc303539127"/>
      <w:bookmarkStart w:id="165" w:name="_Toc300934970"/>
      <w:bookmarkStart w:id="166" w:name="_Toc297123518"/>
      <w:r>
        <w:rPr>
          <w:rFonts w:hint="eastAsia" w:ascii="宋体" w:hAnsi="宋体" w:eastAsia="宋体" w:cs="宋体"/>
          <w:color w:val="auto"/>
          <w:sz w:val="21"/>
          <w:szCs w:val="21"/>
        </w:rPr>
        <w:t>.5.2因承包人原因导致工期延误</w:t>
      </w:r>
    </w:p>
    <w:bookmarkEnd w:id="159"/>
    <w:bookmarkEnd w:id="160"/>
    <w:bookmarkEnd w:id="161"/>
    <w:p w14:paraId="425AA37E">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因</w:t>
      </w:r>
      <w:bookmarkStart w:id="167" w:name="_Toc312678013"/>
      <w:bookmarkStart w:id="168" w:name="_Toc312677487"/>
      <w:bookmarkStart w:id="169" w:name="_Toc318581170"/>
      <w:r>
        <w:rPr>
          <w:rFonts w:hint="eastAsia" w:ascii="宋体" w:hAnsi="宋体" w:eastAsia="宋体" w:cs="宋体"/>
          <w:color w:val="auto"/>
          <w:sz w:val="21"/>
          <w:szCs w:val="21"/>
        </w:rPr>
        <w:t>承包人原因造成工期延误，逾期竣工违约金的计算方法为：</w:t>
      </w:r>
      <w:r>
        <w:rPr>
          <w:rFonts w:hint="eastAsia" w:ascii="宋体" w:hAnsi="宋体" w:eastAsia="宋体" w:cs="宋体"/>
          <w:color w:val="auto"/>
          <w:sz w:val="21"/>
          <w:szCs w:val="21"/>
          <w:u w:val="single"/>
        </w:rPr>
        <w:t>每天</w:t>
      </w:r>
      <w:r>
        <w:rPr>
          <w:rFonts w:hint="eastAsia" w:ascii="宋体" w:hAnsi="宋体" w:eastAsia="宋体" w:cs="宋体"/>
          <w:color w:val="auto"/>
          <w:sz w:val="21"/>
          <w:szCs w:val="21"/>
          <w:u w:val="single"/>
          <w:lang w:val="en-US" w:eastAsia="zh-CN"/>
        </w:rPr>
        <w:t>1000</w:t>
      </w:r>
      <w:r>
        <w:rPr>
          <w:rFonts w:hint="eastAsia" w:ascii="宋体" w:hAnsi="宋体" w:eastAsia="宋体" w:cs="宋体"/>
          <w:color w:val="auto"/>
          <w:sz w:val="21"/>
          <w:szCs w:val="21"/>
          <w:u w:val="single"/>
        </w:rPr>
        <w:t>元</w:t>
      </w:r>
      <w:bookmarkEnd w:id="162"/>
      <w:bookmarkEnd w:id="163"/>
      <w:bookmarkEnd w:id="164"/>
      <w:bookmarkEnd w:id="165"/>
      <w:bookmarkEnd w:id="166"/>
      <w:bookmarkEnd w:id="167"/>
      <w:bookmarkEnd w:id="168"/>
      <w:r>
        <w:rPr>
          <w:rFonts w:hint="eastAsia" w:ascii="宋体" w:hAnsi="宋体" w:eastAsia="宋体" w:cs="宋体"/>
          <w:color w:val="auto"/>
          <w:sz w:val="21"/>
          <w:szCs w:val="21"/>
        </w:rPr>
        <w:t>。</w:t>
      </w:r>
    </w:p>
    <w:bookmarkEnd w:id="169"/>
    <w:p w14:paraId="0FE0403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因承包人原因造成工期延误，逾</w:t>
      </w:r>
      <w:bookmarkStart w:id="170" w:name="_Toc318581171"/>
      <w:bookmarkStart w:id="171" w:name="_Toc312678014"/>
      <w:r>
        <w:rPr>
          <w:rFonts w:hint="eastAsia" w:ascii="宋体" w:hAnsi="宋体" w:eastAsia="宋体" w:cs="宋体"/>
          <w:color w:val="auto"/>
          <w:sz w:val="21"/>
          <w:szCs w:val="21"/>
        </w:rPr>
        <w:t>期竣工违约金的上限：</w:t>
      </w:r>
      <w:r>
        <w:rPr>
          <w:rFonts w:hint="eastAsia" w:ascii="宋体" w:hAnsi="宋体" w:eastAsia="宋体" w:cs="宋体"/>
          <w:color w:val="auto"/>
          <w:sz w:val="21"/>
          <w:szCs w:val="21"/>
          <w:u w:val="single"/>
        </w:rPr>
        <w:t>履约保证金额度，对发包人造成损失超过违约金的，除承担违约金外同时赔偿发包人损失</w:t>
      </w:r>
      <w:r>
        <w:rPr>
          <w:rFonts w:hint="eastAsia" w:ascii="宋体" w:hAnsi="宋体" w:eastAsia="宋体" w:cs="宋体"/>
          <w:color w:val="auto"/>
          <w:sz w:val="21"/>
          <w:szCs w:val="21"/>
        </w:rPr>
        <w:t>。</w:t>
      </w:r>
    </w:p>
    <w:bookmarkEnd w:id="170"/>
    <w:bookmarkEnd w:id="171"/>
    <w:p w14:paraId="767EE9E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w:t>
      </w:r>
      <w:bookmarkStart w:id="172" w:name="_Toc300934971"/>
      <w:bookmarkStart w:id="173" w:name="_Toc297216178"/>
      <w:bookmarkStart w:id="174" w:name="_Toc297123519"/>
      <w:bookmarkStart w:id="175" w:name="_Toc312678015"/>
      <w:bookmarkStart w:id="176" w:name="_Toc303539128"/>
      <w:bookmarkStart w:id="177" w:name="_Toc304295549"/>
      <w:r>
        <w:rPr>
          <w:rFonts w:hint="eastAsia" w:ascii="宋体" w:hAnsi="宋体" w:eastAsia="宋体" w:cs="宋体"/>
          <w:color w:val="auto"/>
          <w:sz w:val="21"/>
          <w:szCs w:val="21"/>
        </w:rPr>
        <w:t>.6 不</w:t>
      </w:r>
      <w:bookmarkEnd w:id="172"/>
      <w:bookmarkEnd w:id="173"/>
      <w:bookmarkEnd w:id="174"/>
      <w:bookmarkEnd w:id="175"/>
      <w:bookmarkEnd w:id="176"/>
      <w:bookmarkEnd w:id="177"/>
      <w:r>
        <w:rPr>
          <w:rFonts w:hint="eastAsia" w:ascii="宋体" w:hAnsi="宋体" w:eastAsia="宋体" w:cs="宋体"/>
          <w:color w:val="auto"/>
          <w:sz w:val="21"/>
          <w:szCs w:val="21"/>
        </w:rPr>
        <w:t>利物质条件</w:t>
      </w:r>
    </w:p>
    <w:p w14:paraId="47C7B490">
      <w:pPr>
        <w:spacing w:line="380" w:lineRule="exact"/>
        <w:ind w:firstLine="420" w:firstLineChars="200"/>
        <w:rPr>
          <w:rFonts w:ascii="宋体" w:hAnsi="宋体" w:eastAsia="宋体" w:cs="宋体"/>
          <w:color w:val="auto"/>
          <w:sz w:val="21"/>
          <w:szCs w:val="21"/>
        </w:rPr>
      </w:pPr>
      <w:bookmarkStart w:id="178" w:name="_Toc304295550"/>
      <w:bookmarkStart w:id="179" w:name="_Toc312678016"/>
      <w:bookmarkStart w:id="180" w:name="_Toc318581172"/>
      <w:bookmarkStart w:id="181" w:name="_Toc303539129"/>
      <w:bookmarkStart w:id="182" w:name="_Toc300934972"/>
      <w:bookmarkStart w:id="183" w:name="_Toc297216179"/>
      <w:bookmarkStart w:id="184" w:name="_Toc297123520"/>
      <w:r>
        <w:rPr>
          <w:rFonts w:hint="eastAsia" w:ascii="宋体" w:hAnsi="宋体" w:eastAsia="宋体" w:cs="宋体"/>
          <w:color w:val="auto"/>
          <w:sz w:val="21"/>
          <w:szCs w:val="21"/>
        </w:rPr>
        <w:t>不利物质条件的其他情形和有关约定：</w:t>
      </w:r>
    </w:p>
    <w:p w14:paraId="06445D7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每天连续停水、停电超过8小时以上。</w:t>
      </w:r>
    </w:p>
    <w:p w14:paraId="502CAB61">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因政府行政命令（因承包人原因的除外）。</w:t>
      </w:r>
    </w:p>
    <w:p w14:paraId="6E84ADC3">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非因双方原因而无法控制的爆炸、火灾等事件。</w:t>
      </w:r>
    </w:p>
    <w:p w14:paraId="75FD80C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（4）</w:t>
      </w:r>
      <w:r>
        <w:rPr>
          <w:rFonts w:hint="eastAsia" w:ascii="宋体" w:hAnsi="宋体" w:eastAsia="宋体" w:cs="宋体"/>
          <w:color w:val="auto"/>
          <w:sz w:val="21"/>
          <w:szCs w:val="21"/>
          <w:u w:val="single"/>
        </w:rPr>
        <w:t>施工场地周围地下管线保护，地下障碍物和污染物排除，邻近建筑物、构筑物的保护要求。</w:t>
      </w:r>
    </w:p>
    <w:p w14:paraId="28FA704C">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地质勘探资料未涉及的地下管道、暗沟、岩层等。</w:t>
      </w:r>
    </w:p>
    <w:p w14:paraId="72EF816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78"/>
    <w:bookmarkEnd w:id="179"/>
    <w:bookmarkEnd w:id="180"/>
    <w:bookmarkEnd w:id="181"/>
    <w:bookmarkEnd w:id="182"/>
    <w:bookmarkEnd w:id="183"/>
    <w:bookmarkEnd w:id="184"/>
    <w:p w14:paraId="2447F9B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w:t>
      </w:r>
      <w:bookmarkStart w:id="185" w:name="_Toc312678017"/>
      <w:bookmarkStart w:id="186" w:name="_Toc297216180"/>
      <w:bookmarkStart w:id="187" w:name="_Toc303539130"/>
      <w:bookmarkStart w:id="188" w:name="_Toc300934973"/>
      <w:bookmarkStart w:id="189" w:name="_Toc304295551"/>
      <w:bookmarkStart w:id="190" w:name="_Toc297123521"/>
      <w:r>
        <w:rPr>
          <w:rFonts w:hint="eastAsia" w:ascii="宋体" w:hAnsi="宋体" w:eastAsia="宋体" w:cs="宋体"/>
          <w:color w:val="auto"/>
          <w:sz w:val="21"/>
          <w:szCs w:val="21"/>
        </w:rPr>
        <w:t>.7异常恶劣的气候条件</w:t>
      </w:r>
    </w:p>
    <w:bookmarkEnd w:id="185"/>
    <w:bookmarkEnd w:id="186"/>
    <w:bookmarkEnd w:id="187"/>
    <w:bookmarkEnd w:id="188"/>
    <w:bookmarkEnd w:id="189"/>
    <w:bookmarkEnd w:id="190"/>
    <w:p w14:paraId="512A0E1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14:paraId="332F8731">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8-10级（含10级）持续24小时的大风（台风）</w:t>
      </w:r>
      <w:r>
        <w:rPr>
          <w:rFonts w:hint="eastAsia" w:ascii="宋体" w:hAnsi="宋体" w:eastAsia="宋体" w:cs="宋体"/>
          <w:color w:val="auto"/>
          <w:sz w:val="21"/>
          <w:szCs w:val="21"/>
        </w:rPr>
        <w:t>；</w:t>
      </w:r>
    </w:p>
    <w:p w14:paraId="3B549CF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24小时内持续降雨且降水量为200mm以上</w:t>
      </w:r>
      <w:r>
        <w:rPr>
          <w:rFonts w:hint="eastAsia" w:ascii="宋体" w:hAnsi="宋体" w:eastAsia="宋体" w:cs="宋体"/>
          <w:color w:val="auto"/>
          <w:sz w:val="21"/>
          <w:szCs w:val="21"/>
        </w:rPr>
        <w:t>；</w:t>
      </w:r>
    </w:p>
    <w:p w14:paraId="2E54C36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40摄氏度及以上且持续2天以上的高温天气</w:t>
      </w:r>
      <w:r>
        <w:rPr>
          <w:rFonts w:hint="eastAsia" w:ascii="宋体" w:hAnsi="宋体" w:eastAsia="宋体" w:cs="宋体"/>
          <w:color w:val="auto"/>
          <w:sz w:val="21"/>
          <w:szCs w:val="21"/>
        </w:rPr>
        <w:t>。</w:t>
      </w:r>
    </w:p>
    <w:p w14:paraId="5777432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7C5CBA1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7.9 提前竣工的奖励</w:t>
      </w:r>
    </w:p>
    <w:p w14:paraId="1643735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7.9.2提前竣工的奖励：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7393545">
      <w:pPr>
        <w:pStyle w:val="7"/>
        <w:keepNext w:val="0"/>
        <w:keepLines w:val="0"/>
        <w:spacing w:before="0" w:after="0" w:line="380" w:lineRule="exact"/>
        <w:rPr>
          <w:rFonts w:ascii="宋体" w:hAnsi="宋体" w:cs="宋体"/>
          <w:b w:val="0"/>
          <w:color w:val="auto"/>
          <w:sz w:val="21"/>
          <w:szCs w:val="21"/>
        </w:rPr>
      </w:pPr>
      <w:bookmarkStart w:id="191" w:name="_Toc351203640"/>
      <w:r>
        <w:rPr>
          <w:rFonts w:hint="eastAsia" w:ascii="宋体" w:hAnsi="宋体" w:cs="宋体"/>
          <w:b w:val="0"/>
          <w:color w:val="auto"/>
          <w:sz w:val="21"/>
          <w:szCs w:val="21"/>
        </w:rPr>
        <w:t>8．材料与设备</w:t>
      </w:r>
      <w:bookmarkEnd w:id="191"/>
    </w:p>
    <w:p w14:paraId="5141180C">
      <w:pPr>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8.2 承包人采购材料与工程设备</w:t>
      </w:r>
    </w:p>
    <w:p w14:paraId="3DA1364B">
      <w:pPr>
        <w:snapToGrid w:val="0"/>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（1）</w:t>
      </w:r>
      <w:r>
        <w:rPr>
          <w:rFonts w:hint="eastAsia" w:ascii="宋体" w:hAnsi="宋体" w:eastAsia="宋体" w:cs="宋体"/>
          <w:b/>
          <w:bCs/>
          <w:color w:val="auto"/>
          <w:sz w:val="21"/>
          <w:szCs w:val="21"/>
          <w:u w:val="single"/>
        </w:rPr>
        <w:t>材料品牌、规格和使用要求：按招标文件（相应）技术标准和预算书要求执行。</w:t>
      </w:r>
    </w:p>
    <w:p w14:paraId="012EFCB6">
      <w:pPr>
        <w:autoSpaceDE w:val="0"/>
        <w:autoSpaceDN w:val="0"/>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（2）本工程已确定承包价的建筑材料均由承包人自行询价、采购、运输和保管。新型墙体材料的使用须符合相关规定，否则相关押金由承包人承担。</w:t>
      </w:r>
    </w:p>
    <w:p w14:paraId="63FF7E8B">
      <w:pPr>
        <w:autoSpaceDE w:val="0"/>
        <w:autoSpaceDN w:val="0"/>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（3）本工程要求使用材料要求（如商品砼、商品砂浆、保温节能材料等）。</w:t>
      </w:r>
    </w:p>
    <w:p w14:paraId="596E6CA1">
      <w:pPr>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（4）所有材料必须有质保书或合格证，符合施工图纸和规范要求，且品牌、产地需报发包人备案，否则，因此产生的后果均由承包人负责。</w:t>
      </w:r>
    </w:p>
    <w:p w14:paraId="40200EFF">
      <w:pPr>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5）凡是招标文件注明规格、型号或相当于的厂家（品牌、产地）的材料，承包人必须按照招标文件要求采购和施工，优先使用备选品牌或厂家，其次考虑相当于的厂家（品牌、产地），如需调整，必须经得发包人认可，否则由此引起的后果由承包人承担。</w:t>
      </w:r>
    </w:p>
    <w:p w14:paraId="60093520">
      <w:pPr>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1CDE7202">
      <w:pPr>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（7）根据工程需要，发包人有权对承包人投标时确认的品牌进行更换，更换后的材料价格由发包人签证进行结算。</w:t>
      </w:r>
    </w:p>
    <w:p w14:paraId="0035FC89">
      <w:pPr>
        <w:spacing w:line="36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bookmarkEnd w:id="126"/>
    <w:bookmarkEnd w:id="127"/>
    <w:bookmarkEnd w:id="128"/>
    <w:bookmarkEnd w:id="129"/>
    <w:bookmarkEnd w:id="130"/>
    <w:bookmarkEnd w:id="131"/>
    <w:bookmarkEnd w:id="132"/>
    <w:bookmarkEnd w:id="133"/>
    <w:bookmarkEnd w:id="134"/>
    <w:bookmarkEnd w:id="135"/>
    <w:p w14:paraId="378425B4">
      <w:pPr>
        <w:spacing w:line="380" w:lineRule="exact"/>
        <w:ind w:firstLine="420" w:firstLineChars="200"/>
        <w:rPr>
          <w:rFonts w:hint="eastAsia" w:ascii="宋体" w:hAnsi="宋体" w:eastAsia="宋体" w:cs="宋体"/>
          <w:color w:val="auto"/>
          <w:sz w:val="21"/>
          <w:szCs w:val="21"/>
        </w:rPr>
      </w:pPr>
      <w:bookmarkStart w:id="192" w:name="_Toc296944507"/>
      <w:bookmarkStart w:id="193" w:name="_Toc297120468"/>
      <w:bookmarkStart w:id="194" w:name="_Toc304295557"/>
      <w:bookmarkStart w:id="195" w:name="_Toc312678020"/>
      <w:bookmarkStart w:id="196" w:name="_Toc312677494"/>
      <w:bookmarkStart w:id="197" w:name="_Toc296891208"/>
      <w:bookmarkStart w:id="198" w:name="_Toc297123528"/>
      <w:bookmarkStart w:id="199" w:name="_Toc296346669"/>
      <w:bookmarkStart w:id="200" w:name="_Toc318581173"/>
      <w:bookmarkStart w:id="201" w:name="_Toc300934980"/>
      <w:bookmarkStart w:id="202" w:name="_Toc296890996"/>
      <w:bookmarkStart w:id="203" w:name="_Toc297048354"/>
      <w:bookmarkStart w:id="204" w:name="_Toc303539137"/>
      <w:bookmarkStart w:id="205" w:name="_Toc297216187"/>
      <w:bookmarkStart w:id="206" w:name="_Toc296503168"/>
      <w:bookmarkStart w:id="207" w:name="_Toc296347167"/>
      <w:bookmarkStart w:id="208" w:name="_Toc280868656"/>
      <w:bookmarkStart w:id="209" w:name="_Toc267251424"/>
      <w:bookmarkStart w:id="210" w:name="_Toc280868655"/>
      <w:r>
        <w:rPr>
          <w:rFonts w:hint="eastAsia" w:ascii="宋体" w:hAnsi="宋体" w:eastAsia="宋体" w:cs="宋体"/>
          <w:color w:val="auto"/>
          <w:sz w:val="21"/>
          <w:szCs w:val="21"/>
        </w:rPr>
        <w:t>8.4材料与工程设备的保管与使用</w:t>
      </w:r>
    </w:p>
    <w:p w14:paraId="0CAE24DE">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8.4.1发包人供应的材料设备的保管费用的承担：</w:t>
      </w:r>
      <w:r>
        <w:rPr>
          <w:rFonts w:hint="eastAsia" w:ascii="宋体" w:hAnsi="宋体" w:eastAsia="宋体" w:cs="宋体"/>
          <w:color w:val="auto"/>
          <w:sz w:val="21"/>
          <w:szCs w:val="21"/>
          <w:u w:val="single"/>
        </w:rPr>
        <w:t xml:space="preserve"> 不计保管费</w:t>
      </w:r>
      <w:r>
        <w:rPr>
          <w:rFonts w:hint="eastAsia" w:ascii="宋体" w:hAnsi="宋体" w:eastAsia="宋体" w:cs="宋体"/>
          <w:color w:val="auto"/>
          <w:sz w:val="21"/>
          <w:szCs w:val="21"/>
        </w:rPr>
        <w:t xml:space="preserve"> 。</w:t>
      </w:r>
    </w:p>
    <w:p w14:paraId="6334580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8.6 样品</w:t>
      </w:r>
    </w:p>
    <w:p w14:paraId="794E4BC7">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8.6.1样品的报送与封存</w:t>
      </w:r>
    </w:p>
    <w:p w14:paraId="38151F72">
      <w:pPr>
        <w:autoSpaceDE w:val="0"/>
        <w:autoSpaceDN w:val="0"/>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需要承包人报送样品的材料或工程设备，样品的种类、名称、规格、数量要求：</w:t>
      </w:r>
      <w:r>
        <w:rPr>
          <w:rFonts w:hint="eastAsia" w:ascii="宋体" w:hAnsi="宋体" w:eastAsia="宋体" w:cs="宋体"/>
          <w:color w:val="auto"/>
          <w:sz w:val="21"/>
          <w:szCs w:val="21"/>
          <w:u w:val="single"/>
        </w:rPr>
        <w:t>如有要封存样品，具体样品名称、要求以发包人的书面通知为准</w:t>
      </w:r>
      <w:r>
        <w:rPr>
          <w:rFonts w:hint="eastAsia" w:ascii="宋体" w:hAnsi="宋体" w:eastAsia="宋体" w:cs="宋体"/>
          <w:color w:val="auto"/>
          <w:sz w:val="21"/>
          <w:szCs w:val="21"/>
        </w:rPr>
        <w:t>。</w:t>
      </w:r>
    </w:p>
    <w:p w14:paraId="0232B38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8.8 施工设备和临时设施</w:t>
      </w:r>
    </w:p>
    <w:p w14:paraId="6B9FA166">
      <w:pPr>
        <w:autoSpaceDE w:val="0"/>
        <w:autoSpaceDN w:val="0"/>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8.8.1承包人提供的施工设备和临时设施</w:t>
      </w:r>
    </w:p>
    <w:p w14:paraId="12C99870">
      <w:pPr>
        <w:autoSpaceDE w:val="0"/>
        <w:autoSpaceDN w:val="0"/>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79D47B21">
      <w:pPr>
        <w:pStyle w:val="7"/>
        <w:keepNext w:val="0"/>
        <w:keepLines w:val="0"/>
        <w:spacing w:before="0" w:after="0" w:line="380" w:lineRule="exact"/>
        <w:rPr>
          <w:rFonts w:ascii="宋体" w:hAnsi="宋体" w:cs="宋体"/>
          <w:b w:val="0"/>
          <w:color w:val="auto"/>
          <w:sz w:val="21"/>
          <w:szCs w:val="21"/>
        </w:rPr>
      </w:pPr>
      <w:bookmarkStart w:id="211" w:name="_Toc351203641"/>
      <w:r>
        <w:rPr>
          <w:rFonts w:hint="eastAsia" w:ascii="宋体" w:hAnsi="宋体" w:cs="宋体"/>
          <w:b w:val="0"/>
          <w:color w:val="auto"/>
          <w:sz w:val="21"/>
          <w:szCs w:val="21"/>
        </w:rPr>
        <w:t>9</w:t>
      </w:r>
      <w:bookmarkEnd w:id="208"/>
      <w:bookmarkEnd w:id="209"/>
      <w:bookmarkEnd w:id="210"/>
      <w:bookmarkStart w:id="212" w:name="_Toc312677495"/>
      <w:bookmarkStart w:id="213" w:name="_Toc303539139"/>
      <w:bookmarkStart w:id="214" w:name="_Toc312678021"/>
      <w:bookmarkStart w:id="215" w:name="_Toc300934982"/>
      <w:bookmarkStart w:id="216" w:name="_Toc304295559"/>
      <w:bookmarkStart w:id="217" w:name="_Toc297216192"/>
      <w:bookmarkStart w:id="218" w:name="_Toc297123533"/>
      <w:bookmarkStart w:id="219" w:name="_Toc292559883"/>
      <w:bookmarkStart w:id="220" w:name="_Toc296944512"/>
      <w:bookmarkStart w:id="221" w:name="_Toc267251427"/>
      <w:bookmarkStart w:id="222" w:name="_Toc297048359"/>
      <w:bookmarkStart w:id="223" w:name="_Toc292559378"/>
      <w:bookmarkStart w:id="224" w:name="_Toc296891001"/>
      <w:bookmarkStart w:id="225" w:name="_Toc267251428"/>
      <w:bookmarkStart w:id="226" w:name="_Toc296503173"/>
      <w:bookmarkStart w:id="227" w:name="_Toc297120473"/>
      <w:bookmarkStart w:id="228" w:name="_Toc296891213"/>
      <w:bookmarkStart w:id="229" w:name="_Toc296347172"/>
      <w:bookmarkStart w:id="230" w:name="_Toc296346674"/>
      <w:r>
        <w:rPr>
          <w:rFonts w:hint="eastAsia" w:ascii="宋体" w:hAnsi="宋体" w:cs="宋体"/>
          <w:b w:val="0"/>
          <w:color w:val="auto"/>
          <w:sz w:val="21"/>
          <w:szCs w:val="21"/>
        </w:rPr>
        <w:t>．试验与检验</w:t>
      </w:r>
      <w:bookmarkEnd w:id="211"/>
    </w:p>
    <w:bookmarkEnd w:id="212"/>
    <w:bookmarkEnd w:id="213"/>
    <w:bookmarkEnd w:id="214"/>
    <w:bookmarkEnd w:id="215"/>
    <w:bookmarkEnd w:id="216"/>
    <w:bookmarkEnd w:id="217"/>
    <w:bookmarkEnd w:id="218"/>
    <w:p w14:paraId="2262F9D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9</w:t>
      </w:r>
      <w:bookmarkStart w:id="231" w:name="_Toc312677496"/>
      <w:bookmarkStart w:id="232" w:name="_Toc300934983"/>
      <w:bookmarkStart w:id="233" w:name="_Toc297216193"/>
      <w:bookmarkStart w:id="234" w:name="_Toc303539140"/>
      <w:bookmarkStart w:id="235" w:name="_Toc304295560"/>
      <w:bookmarkStart w:id="236" w:name="_Toc297123534"/>
      <w:bookmarkStart w:id="237" w:name="_Toc312678022"/>
      <w:r>
        <w:rPr>
          <w:rFonts w:hint="eastAsia" w:ascii="宋体" w:hAnsi="宋体" w:eastAsia="宋体" w:cs="宋体"/>
          <w:color w:val="auto"/>
          <w:sz w:val="21"/>
          <w:szCs w:val="21"/>
        </w:rPr>
        <w:t>.1试验设备与试验人员</w:t>
      </w:r>
    </w:p>
    <w:bookmarkEnd w:id="231"/>
    <w:bookmarkEnd w:id="232"/>
    <w:bookmarkEnd w:id="233"/>
    <w:bookmarkEnd w:id="234"/>
    <w:bookmarkEnd w:id="235"/>
    <w:bookmarkEnd w:id="236"/>
    <w:bookmarkEnd w:id="237"/>
    <w:p w14:paraId="5EBAB52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9</w:t>
      </w:r>
      <w:bookmarkStart w:id="238" w:name="_Toc300934984"/>
      <w:bookmarkStart w:id="239" w:name="_Toc312677497"/>
      <w:bookmarkStart w:id="240" w:name="_Toc297123535"/>
      <w:bookmarkStart w:id="241" w:name="_Toc312678023"/>
      <w:bookmarkStart w:id="242" w:name="_Toc303539141"/>
      <w:bookmarkStart w:id="243" w:name="_Toc297216194"/>
      <w:bookmarkStart w:id="244" w:name="_Toc304295561"/>
      <w:bookmarkStart w:id="245" w:name="_Toc318581174"/>
      <w:r>
        <w:rPr>
          <w:rFonts w:hint="eastAsia" w:ascii="宋体" w:hAnsi="宋体" w:eastAsia="宋体" w:cs="宋体"/>
          <w:color w:val="auto"/>
          <w:sz w:val="21"/>
          <w:szCs w:val="21"/>
        </w:rPr>
        <w:t>.1.2试验设备</w:t>
      </w:r>
    </w:p>
    <w:p w14:paraId="6FF8CF8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施工现场需要配置的试验场所：</w:t>
      </w:r>
      <w:bookmarkEnd w:id="238"/>
      <w:bookmarkEnd w:id="239"/>
      <w:bookmarkEnd w:id="240"/>
      <w:bookmarkEnd w:id="241"/>
      <w:bookmarkEnd w:id="242"/>
      <w:bookmarkEnd w:id="243"/>
      <w:bookmarkEnd w:id="244"/>
      <w:bookmarkStart w:id="246" w:name="_Toc312677498"/>
      <w:bookmarkStart w:id="247" w:name="_Toc297123536"/>
      <w:bookmarkStart w:id="248" w:name="_Toc303539142"/>
      <w:bookmarkStart w:id="249" w:name="_Toc300934985"/>
      <w:bookmarkStart w:id="250" w:name="_Toc312678024"/>
      <w:bookmarkStart w:id="251" w:name="_Toc304295562"/>
      <w:bookmarkStart w:id="252" w:name="_Toc297216195"/>
      <w:r>
        <w:rPr>
          <w:rFonts w:hint="eastAsia" w:ascii="宋体" w:hAnsi="宋体" w:eastAsia="宋体" w:cs="宋体"/>
          <w:color w:val="auto"/>
          <w:sz w:val="21"/>
          <w:szCs w:val="21"/>
          <w:u w:val="single"/>
        </w:rPr>
        <w:t>按规范及（当地）建设行政主管部门要求配置</w:t>
      </w:r>
      <w:r>
        <w:rPr>
          <w:rFonts w:hint="eastAsia" w:ascii="宋体" w:hAnsi="宋体" w:eastAsia="宋体" w:cs="宋体"/>
          <w:color w:val="auto"/>
          <w:sz w:val="21"/>
          <w:szCs w:val="21"/>
        </w:rPr>
        <w:t>。</w:t>
      </w:r>
    </w:p>
    <w:p w14:paraId="4BBF1F3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按规范及（当地）建设行政主管部门要求配置</w:t>
      </w:r>
      <w:r>
        <w:rPr>
          <w:rFonts w:hint="eastAsia" w:ascii="宋体" w:hAnsi="宋体" w:eastAsia="宋体" w:cs="宋体"/>
          <w:color w:val="auto"/>
          <w:sz w:val="21"/>
          <w:szCs w:val="21"/>
        </w:rPr>
        <w:t>。</w:t>
      </w:r>
    </w:p>
    <w:p w14:paraId="60116B6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按规范及（当地）建设行政主管部门要求配置</w:t>
      </w:r>
      <w:r>
        <w:rPr>
          <w:rFonts w:hint="eastAsia" w:ascii="宋体" w:hAnsi="宋体" w:eastAsia="宋体" w:cs="宋体"/>
          <w:color w:val="auto"/>
          <w:sz w:val="21"/>
          <w:szCs w:val="21"/>
        </w:rPr>
        <w:t>。</w:t>
      </w:r>
    </w:p>
    <w:p w14:paraId="668C85B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9.3 材料、工程设备和工程的试验和检验</w:t>
      </w:r>
    </w:p>
    <w:p w14:paraId="5AD67425">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9.3.4材料、设备和工程的试验和检验的费用：</w:t>
      </w:r>
      <w:r>
        <w:rPr>
          <w:rFonts w:hint="eastAsia" w:ascii="宋体" w:hAnsi="宋体" w:eastAsia="宋体" w:cs="宋体"/>
          <w:color w:val="auto"/>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34504358">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112ED1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D568771">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2B2945F">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9.4 现场工艺试验</w:t>
      </w:r>
    </w:p>
    <w:p w14:paraId="296AA6FB">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试验检验应符合施工图纸、验收规范要求，并符合工程所在地质量监督部门的要求</w:t>
      </w:r>
      <w:r>
        <w:rPr>
          <w:rFonts w:hint="eastAsia" w:ascii="宋体" w:hAnsi="宋体" w:eastAsia="宋体" w:cs="宋体"/>
          <w:color w:val="auto"/>
          <w:sz w:val="21"/>
          <w:szCs w:val="21"/>
        </w:rPr>
        <w:t>。</w:t>
      </w:r>
    </w:p>
    <w:bookmarkEnd w:id="245"/>
    <w:bookmarkEnd w:id="246"/>
    <w:bookmarkEnd w:id="247"/>
    <w:bookmarkEnd w:id="248"/>
    <w:bookmarkEnd w:id="249"/>
    <w:bookmarkEnd w:id="250"/>
    <w:bookmarkEnd w:id="251"/>
    <w:bookmarkEnd w:id="252"/>
    <w:p w14:paraId="4500F8BE">
      <w:pPr>
        <w:pStyle w:val="7"/>
        <w:keepNext w:val="0"/>
        <w:keepLines w:val="0"/>
        <w:pageBreakBefore w:val="0"/>
        <w:widowControl w:val="0"/>
        <w:kinsoku/>
        <w:wordWrap/>
        <w:overflowPunct/>
        <w:topLinePunct w:val="0"/>
        <w:bidi w:val="0"/>
        <w:snapToGrid/>
        <w:spacing w:before="0" w:after="0" w:line="380" w:lineRule="exact"/>
        <w:textAlignment w:val="auto"/>
        <w:rPr>
          <w:rFonts w:ascii="宋体" w:hAnsi="宋体" w:cs="宋体"/>
          <w:b w:val="0"/>
          <w:color w:val="auto"/>
          <w:sz w:val="21"/>
          <w:szCs w:val="21"/>
        </w:rPr>
      </w:pPr>
      <w:bookmarkStart w:id="253" w:name="_Toc351203642"/>
      <w:r>
        <w:rPr>
          <w:rFonts w:hint="eastAsia" w:ascii="宋体" w:hAnsi="宋体" w:cs="宋体"/>
          <w:b w:val="0"/>
          <w:color w:val="auto"/>
          <w:sz w:val="21"/>
          <w:szCs w:val="21"/>
        </w:rPr>
        <w:t>1</w:t>
      </w:r>
      <w:bookmarkEnd w:id="219"/>
      <w:bookmarkEnd w:id="220"/>
      <w:bookmarkEnd w:id="221"/>
      <w:bookmarkEnd w:id="222"/>
      <w:bookmarkEnd w:id="223"/>
      <w:bookmarkEnd w:id="224"/>
      <w:bookmarkEnd w:id="225"/>
      <w:bookmarkEnd w:id="226"/>
      <w:bookmarkEnd w:id="227"/>
      <w:bookmarkEnd w:id="228"/>
      <w:bookmarkEnd w:id="229"/>
      <w:bookmarkEnd w:id="230"/>
      <w:bookmarkStart w:id="254" w:name="_Toc292559903"/>
      <w:bookmarkStart w:id="255" w:name="_Toc297120493"/>
      <w:bookmarkStart w:id="256" w:name="_Toc304295566"/>
      <w:bookmarkStart w:id="257" w:name="_Toc296347192"/>
      <w:bookmarkStart w:id="258" w:name="_Toc297048379"/>
      <w:bookmarkStart w:id="259" w:name="_Toc292559398"/>
      <w:bookmarkStart w:id="260" w:name="_Toc296503193"/>
      <w:bookmarkStart w:id="261" w:name="_Toc297123540"/>
      <w:bookmarkStart w:id="262" w:name="_Toc296891021"/>
      <w:bookmarkStart w:id="263" w:name="_Toc296346694"/>
      <w:bookmarkStart w:id="264" w:name="_Toc300934989"/>
      <w:bookmarkStart w:id="265" w:name="_Toc296944532"/>
      <w:bookmarkStart w:id="266" w:name="_Toc296891233"/>
      <w:bookmarkStart w:id="267" w:name="_Toc297216199"/>
      <w:bookmarkStart w:id="268" w:name="_Toc303539146"/>
      <w:bookmarkStart w:id="269" w:name="_Toc312678025"/>
      <w:bookmarkStart w:id="270" w:name="_Toc312677499"/>
      <w:bookmarkStart w:id="271" w:name="_Toc267251440"/>
      <w:bookmarkStart w:id="272" w:name="_Toc267251437"/>
      <w:bookmarkStart w:id="273" w:name="_Toc267251441"/>
      <w:bookmarkStart w:id="274" w:name="_Toc267251435"/>
      <w:bookmarkStart w:id="275" w:name="_Toc267251433"/>
      <w:bookmarkStart w:id="276" w:name="_Toc267251439"/>
      <w:bookmarkStart w:id="277" w:name="_Toc267251442"/>
      <w:r>
        <w:rPr>
          <w:rFonts w:hint="eastAsia" w:ascii="宋体" w:hAnsi="宋体" w:cs="宋体"/>
          <w:b w:val="0"/>
          <w:color w:val="auto"/>
          <w:sz w:val="21"/>
          <w:szCs w:val="21"/>
        </w:rPr>
        <w:t>0．变更</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bookmarkEnd w:id="269"/>
    <w:bookmarkEnd w:id="270"/>
    <w:p w14:paraId="06436240">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w:t>
      </w:r>
      <w:bookmarkStart w:id="278" w:name="_Toc303539147"/>
      <w:bookmarkStart w:id="279" w:name="_Toc312678026"/>
      <w:bookmarkStart w:id="280" w:name="_Toc296891234"/>
      <w:bookmarkStart w:id="281" w:name="_Toc297048380"/>
      <w:bookmarkStart w:id="282" w:name="_Toc297123541"/>
      <w:bookmarkStart w:id="283" w:name="_Toc296347193"/>
      <w:bookmarkStart w:id="284" w:name="_Toc296944533"/>
      <w:bookmarkStart w:id="285" w:name="_Toc304295567"/>
      <w:bookmarkStart w:id="286" w:name="_Toc292559904"/>
      <w:bookmarkStart w:id="287" w:name="_Toc296346695"/>
      <w:bookmarkStart w:id="288" w:name="_Toc292559399"/>
      <w:bookmarkStart w:id="289" w:name="_Toc297120494"/>
      <w:bookmarkStart w:id="290" w:name="_Toc297216200"/>
      <w:bookmarkStart w:id="291" w:name="_Toc300934990"/>
      <w:bookmarkStart w:id="292" w:name="_Toc296891022"/>
      <w:bookmarkStart w:id="293" w:name="_Toc312677500"/>
      <w:bookmarkStart w:id="294" w:name="_Toc296503194"/>
      <w:r>
        <w:rPr>
          <w:rFonts w:hint="eastAsia" w:ascii="宋体" w:hAnsi="宋体" w:eastAsia="宋体" w:cs="宋体"/>
          <w:color w:val="auto"/>
          <w:sz w:val="21"/>
          <w:szCs w:val="21"/>
        </w:rPr>
        <w:t>0.1 变更的范围</w:t>
      </w:r>
    </w:p>
    <w:p w14:paraId="675560EA">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ascii="宋体" w:hAnsi="宋体" w:eastAsia="宋体" w:cs="宋体"/>
          <w:b/>
          <w:bCs/>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b/>
          <w:bCs/>
          <w:color w:val="auto"/>
          <w:sz w:val="21"/>
          <w:szCs w:val="21"/>
          <w:u w:val="single"/>
        </w:rPr>
        <w:t>当事人应按照《政府采购法》、浙财采监[2017]11号《浙江省财政厅关于印发浙江省政府采购合同暂行办法的通知》、黄政办发2018-43号文件《关于印发黄岩区政府投资项目工程变更管理若干意见的通知》的文件执行。</w:t>
      </w:r>
    </w:p>
    <w:p w14:paraId="06C1A9B9">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10.4 变更估价</w:t>
      </w:r>
    </w:p>
    <w:p w14:paraId="2158EC96">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10.4.1变更估价原则</w:t>
      </w:r>
    </w:p>
    <w:p w14:paraId="6E385359">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 xml:space="preserve">关于变更估价的约定: </w:t>
      </w:r>
    </w:p>
    <w:p w14:paraId="5A35B133">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0E4592A">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综合单价异常是指：投标综合单价与按本项目招标控制价编制依据计算的综合单价偏差±30%以上</w:t>
      </w:r>
      <w:r>
        <w:rPr>
          <w:rFonts w:hint="eastAsia" w:ascii="宋体" w:hAnsi="宋体" w:eastAsia="宋体" w:cs="宋体"/>
          <w:b/>
          <w:bCs/>
          <w:color w:val="auto"/>
          <w:sz w:val="21"/>
          <w:szCs w:val="21"/>
          <w:u w:val="single"/>
          <w:lang w:eastAsia="zh-CN"/>
        </w:rPr>
        <w:t>。</w:t>
      </w:r>
    </w:p>
    <w:p w14:paraId="01A9CDC8">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（2）变更后项目与投标人已标价工程量清单中没有适用的综合单价，但有类似的工程项目综合单价，承包人可参照类似工程项目综合单价计算，并报发包人确定。</w:t>
      </w:r>
    </w:p>
    <w:p w14:paraId="3DB8A20C">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firstLine="337" w:firstLineChars="16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某种材料（或半成品及成品）等级、标准变化的，清单组合子目不变，仅调整不同的材料市场价格之差；</w:t>
      </w:r>
    </w:p>
    <w:p w14:paraId="0AF85EFF">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firstLine="42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清单项目组合内容中某一个（或多个）定额子目发生变化，不影响其他特征及工程内容价格的，仅调整发生变化的定额子目价格。</w:t>
      </w:r>
    </w:p>
    <w:p w14:paraId="075792F3">
      <w:pPr>
        <w:keepNext w:val="0"/>
        <w:keepLines w:val="0"/>
        <w:pageBreakBefore w:val="0"/>
        <w:widowControl w:val="0"/>
        <w:kinsoku/>
        <w:wordWrap/>
        <w:overflowPunct/>
        <w:topLinePunct w:val="0"/>
        <w:autoSpaceDE/>
        <w:autoSpaceDN/>
        <w:bidi w:val="0"/>
        <w:adjustRightInd/>
        <w:snapToGrid/>
        <w:spacing w:line="380" w:lineRule="exact"/>
        <w:ind w:firstLine="316" w:firstLineChars="15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c、如该类似工程项目的综合单价异常，则不宜参照，按专用条款10.4.1（3）（4）款重新计算综合单价。</w:t>
      </w:r>
    </w:p>
    <w:p w14:paraId="3AEF5E0C">
      <w:pPr>
        <w:keepNext w:val="0"/>
        <w:keepLines w:val="0"/>
        <w:pageBreakBefore w:val="0"/>
        <w:widowControl w:val="0"/>
        <w:kinsoku/>
        <w:wordWrap/>
        <w:overflowPunct/>
        <w:topLinePunct w:val="0"/>
        <w:autoSpaceDE/>
        <w:autoSpaceDN/>
        <w:bidi w:val="0"/>
        <w:adjustRightInd/>
        <w:snapToGrid/>
        <w:spacing w:line="380" w:lineRule="exact"/>
        <w:ind w:firstLine="316" w:firstLineChars="15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w:t>
      </w:r>
      <w:r>
        <w:rPr>
          <w:rFonts w:hint="eastAsia" w:ascii="宋体" w:hAnsi="宋体" w:eastAsia="宋体" w:cs="宋体"/>
          <w:b/>
          <w:bCs/>
          <w:color w:val="auto"/>
          <w:sz w:val="21"/>
          <w:szCs w:val="21"/>
          <w:highlight w:val="none"/>
          <w:u w:val="single"/>
          <w:lang w:val="en-US" w:eastAsia="zh-CN"/>
        </w:rPr>
        <w:t>台州市</w:t>
      </w:r>
      <w:r>
        <w:rPr>
          <w:rFonts w:hint="eastAsia" w:ascii="宋体" w:hAnsi="宋体" w:eastAsia="宋体" w:cs="宋体"/>
          <w:b/>
          <w:bCs/>
          <w:color w:val="auto"/>
          <w:sz w:val="21"/>
          <w:szCs w:val="21"/>
          <w:u w:val="single"/>
        </w:rPr>
        <w:t>信息价</w:t>
      </w:r>
      <w:r>
        <w:rPr>
          <w:rFonts w:hint="eastAsia" w:ascii="宋体" w:hAnsi="宋体" w:eastAsia="宋体" w:cs="宋体"/>
          <w:b/>
          <w:bCs/>
          <w:color w:val="auto"/>
          <w:sz w:val="21"/>
          <w:szCs w:val="21"/>
          <w:highlight w:val="none"/>
          <w:u w:val="single"/>
          <w:lang w:val="en-US" w:eastAsia="zh-CN"/>
        </w:rPr>
        <w:t>正刊</w:t>
      </w:r>
      <w:r>
        <w:rPr>
          <w:rFonts w:hint="eastAsia" w:ascii="宋体" w:hAnsi="宋体" w:eastAsia="宋体" w:cs="宋体"/>
          <w:b/>
          <w:bCs/>
          <w:color w:val="auto"/>
          <w:sz w:val="21"/>
          <w:szCs w:val="21"/>
          <w:u w:val="single"/>
        </w:rPr>
        <w:t xml:space="preserve">（或签证价）确定。 </w:t>
      </w:r>
    </w:p>
    <w:p w14:paraId="48D2105E">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（4）如按以上编制依据缺项的内容，承包人应通过市场调查等手段提出单价，并报发包人确定后执行。</w:t>
      </w:r>
    </w:p>
    <w:p w14:paraId="156E9ACC">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hAnsi="宋体" w:eastAsia="宋体" w:cs="宋体"/>
          <w:b/>
          <w:bCs/>
          <w:color w:val="auto"/>
          <w:sz w:val="21"/>
          <w:szCs w:val="21"/>
          <w:u w:val="single"/>
        </w:rPr>
      </w:pPr>
      <w:r>
        <w:rPr>
          <w:rFonts w:hint="eastAsia" w:ascii="宋体" w:hAnsi="宋体" w:eastAsia="宋体" w:cs="宋体"/>
          <w:b/>
          <w:bCs/>
          <w:color w:val="auto"/>
          <w:sz w:val="21"/>
          <w:szCs w:val="21"/>
          <w:u w:val="single"/>
        </w:rPr>
        <w:t>（5）清单项目组合内容项目特征描述中，局部工程内容对应的工程数量变化，可仅调整计算变化部分的差价。</w:t>
      </w:r>
    </w:p>
    <w:p w14:paraId="3F26C7E1">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10.4.2变更估价程序</w:t>
      </w:r>
    </w:p>
    <w:p w14:paraId="1DAE3884">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承包人收到发包人、监理人、设计单位的变更指示后14天内向发包人提交变更估价申请。</w:t>
      </w:r>
    </w:p>
    <w:p w14:paraId="0EAB6246">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承包人提出工程变更、专项施工方案等变更应同时提交变更估价申请。</w:t>
      </w:r>
    </w:p>
    <w:p w14:paraId="5F33B2D5">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承包人提交的变更估价申请，发包人和监理人应予以签收，并在14天内审批完毕。</w:t>
      </w:r>
    </w:p>
    <w:p w14:paraId="0EABDDBA">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Start w:id="295" w:name="_Toc292559402"/>
      <w:bookmarkStart w:id="296" w:name="_Toc297120497"/>
      <w:bookmarkStart w:id="297" w:name="_Toc296891237"/>
      <w:bookmarkStart w:id="298" w:name="_Toc292559907"/>
      <w:bookmarkStart w:id="299" w:name="_Toc296944536"/>
      <w:bookmarkStart w:id="300" w:name="_Toc303539150"/>
      <w:bookmarkStart w:id="301" w:name="_Toc297216203"/>
      <w:bookmarkStart w:id="302" w:name="_Toc297048383"/>
      <w:bookmarkStart w:id="303" w:name="_Toc300934993"/>
      <w:bookmarkStart w:id="304" w:name="_Toc296347196"/>
      <w:bookmarkStart w:id="305" w:name="_Toc297123544"/>
      <w:bookmarkStart w:id="306" w:name="_Toc296503197"/>
      <w:bookmarkStart w:id="307" w:name="_Toc296891025"/>
      <w:bookmarkStart w:id="308" w:name="_Toc296346698"/>
      <w:bookmarkStart w:id="309" w:name="_Toc312678029"/>
      <w:bookmarkStart w:id="310" w:name="_Toc312677503"/>
      <w:bookmarkStart w:id="311" w:name="_Toc304295570"/>
      <w:r>
        <w:rPr>
          <w:rFonts w:hint="eastAsia" w:ascii="宋体" w:hAnsi="宋体" w:eastAsia="宋体" w:cs="宋体"/>
          <w:color w:val="auto"/>
          <w:sz w:val="21"/>
          <w:szCs w:val="21"/>
        </w:rPr>
        <w:t>0.5承</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Start w:id="312" w:name="_Toc296891031"/>
      <w:bookmarkStart w:id="313" w:name="_Toc297120503"/>
      <w:bookmarkStart w:id="314" w:name="_Toc297216204"/>
      <w:bookmarkStart w:id="315" w:name="_Toc300934994"/>
      <w:bookmarkStart w:id="316" w:name="_Toc296944542"/>
      <w:bookmarkStart w:id="317" w:name="_Toc296891243"/>
      <w:bookmarkStart w:id="318" w:name="_Toc296346704"/>
      <w:bookmarkStart w:id="319" w:name="_Toc297048389"/>
      <w:bookmarkStart w:id="320" w:name="_Toc296503203"/>
      <w:bookmarkStart w:id="321" w:name="_Toc297123545"/>
      <w:bookmarkStart w:id="322" w:name="_Toc292559408"/>
      <w:bookmarkStart w:id="323" w:name="_Toc303539151"/>
      <w:bookmarkStart w:id="324" w:name="_Toc292559913"/>
      <w:bookmarkStart w:id="325" w:name="_Toc296347202"/>
      <w:r>
        <w:rPr>
          <w:rFonts w:hint="eastAsia" w:ascii="宋体" w:hAnsi="宋体" w:eastAsia="宋体" w:cs="宋体"/>
          <w:color w:val="auto"/>
          <w:sz w:val="21"/>
          <w:szCs w:val="21"/>
        </w:rPr>
        <w:t>包人的合理化建议</w:t>
      </w:r>
    </w:p>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14:paraId="1C9D6311">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按通用条款执行  </w:t>
      </w:r>
      <w:r>
        <w:rPr>
          <w:rFonts w:hint="eastAsia" w:ascii="宋体" w:hAnsi="宋体" w:eastAsia="宋体" w:cs="宋体"/>
          <w:color w:val="auto"/>
          <w:sz w:val="21"/>
          <w:szCs w:val="21"/>
        </w:rPr>
        <w:t>。</w:t>
      </w:r>
    </w:p>
    <w:p w14:paraId="27B6A12D">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按通用条款执行  </w:t>
      </w:r>
      <w:r>
        <w:rPr>
          <w:rFonts w:hint="eastAsia" w:ascii="宋体" w:hAnsi="宋体" w:eastAsia="宋体" w:cs="宋体"/>
          <w:color w:val="auto"/>
          <w:sz w:val="21"/>
          <w:szCs w:val="21"/>
        </w:rPr>
        <w:t>。</w:t>
      </w:r>
    </w:p>
    <w:p w14:paraId="03BAF8AE">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rPr>
        <w:t>承</w:t>
      </w:r>
      <w:bookmarkStart w:id="326" w:name="_Toc296891032"/>
      <w:bookmarkStart w:id="327" w:name="_Toc296346705"/>
      <w:bookmarkStart w:id="328" w:name="_Toc300934995"/>
      <w:bookmarkStart w:id="329" w:name="_Toc312677504"/>
      <w:bookmarkStart w:id="330" w:name="_Toc292559914"/>
      <w:bookmarkStart w:id="331" w:name="_Toc297048390"/>
      <w:bookmarkStart w:id="332" w:name="_Toc296503204"/>
      <w:bookmarkStart w:id="333" w:name="_Toc296891244"/>
      <w:bookmarkStart w:id="334" w:name="_Toc312678030"/>
      <w:bookmarkStart w:id="335" w:name="_Toc296347203"/>
      <w:bookmarkStart w:id="336" w:name="_Toc318581175"/>
      <w:bookmarkStart w:id="337" w:name="_Toc304295571"/>
      <w:bookmarkStart w:id="338" w:name="_Toc297123546"/>
      <w:bookmarkStart w:id="339" w:name="_Toc296944543"/>
      <w:bookmarkStart w:id="340" w:name="_Toc297216205"/>
      <w:bookmarkStart w:id="341" w:name="_Toc303539152"/>
      <w:bookmarkStart w:id="342" w:name="_Toc292559409"/>
      <w:bookmarkStart w:id="343" w:name="_Toc297120504"/>
      <w:r>
        <w:rPr>
          <w:rFonts w:hint="eastAsia" w:ascii="宋体" w:hAnsi="宋体" w:eastAsia="宋体" w:cs="宋体"/>
          <w:color w:val="auto"/>
          <w:sz w:val="21"/>
          <w:szCs w:val="21"/>
        </w:rPr>
        <w:t>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14:paraId="352F0A88">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w:t>
      </w:r>
      <w:bookmarkStart w:id="344" w:name="_Toc312677507"/>
      <w:bookmarkStart w:id="345" w:name="_Toc304295574"/>
      <w:bookmarkStart w:id="346" w:name="_Toc296347198"/>
      <w:bookmarkStart w:id="347" w:name="_Toc297120499"/>
      <w:bookmarkStart w:id="348" w:name="_Toc297216207"/>
      <w:bookmarkStart w:id="349" w:name="_Toc297048385"/>
      <w:bookmarkStart w:id="350" w:name="_Toc297123548"/>
      <w:bookmarkStart w:id="351" w:name="_Toc296503199"/>
      <w:bookmarkStart w:id="352" w:name="_Toc300934997"/>
      <w:bookmarkStart w:id="353" w:name="_Toc292559909"/>
      <w:bookmarkStart w:id="354" w:name="_Toc303539154"/>
      <w:bookmarkStart w:id="355" w:name="_Toc296346700"/>
      <w:bookmarkStart w:id="356" w:name="_Toc292559404"/>
      <w:bookmarkStart w:id="357" w:name="_Toc296891027"/>
      <w:bookmarkStart w:id="358" w:name="_Toc296944538"/>
      <w:bookmarkStart w:id="359" w:name="_Toc296891239"/>
      <w:bookmarkStart w:id="360" w:name="_Toc312678033"/>
      <w:r>
        <w:rPr>
          <w:rFonts w:hint="eastAsia" w:ascii="宋体" w:hAnsi="宋体" w:eastAsia="宋体" w:cs="宋体"/>
          <w:color w:val="auto"/>
          <w:sz w:val="21"/>
          <w:szCs w:val="21"/>
        </w:rPr>
        <w:t>0.7 暂估价</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0351D579">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kern w:val="0"/>
          <w:sz w:val="21"/>
          <w:szCs w:val="21"/>
        </w:rPr>
        <w:t>暂</w:t>
      </w:r>
      <w:bookmarkStart w:id="361" w:name="_Toc318581176"/>
      <w:bookmarkStart w:id="362" w:name="_Toc312677508"/>
      <w:bookmarkStart w:id="363" w:name="_Toc312678034"/>
      <w:r>
        <w:rPr>
          <w:rFonts w:hint="eastAsia" w:ascii="宋体" w:hAnsi="宋体" w:eastAsia="宋体" w:cs="宋体"/>
          <w:color w:val="auto"/>
          <w:kern w:val="0"/>
          <w:sz w:val="21"/>
          <w:szCs w:val="21"/>
        </w:rPr>
        <w:t>估价材料和工程设备的明细详见附件11：《</w:t>
      </w:r>
      <w:r>
        <w:rPr>
          <w:rFonts w:hint="eastAsia" w:ascii="宋体" w:hAnsi="宋体" w:eastAsia="宋体" w:cs="宋体"/>
          <w:color w:val="auto"/>
          <w:sz w:val="21"/>
          <w:szCs w:val="21"/>
        </w:rPr>
        <w:t>暂估价一览表》</w:t>
      </w:r>
      <w:r>
        <w:rPr>
          <w:rFonts w:hint="eastAsia" w:ascii="宋体" w:hAnsi="宋体" w:eastAsia="宋体" w:cs="宋体"/>
          <w:color w:val="auto"/>
          <w:kern w:val="0"/>
          <w:sz w:val="21"/>
          <w:szCs w:val="21"/>
        </w:rPr>
        <w:t>。</w:t>
      </w:r>
    </w:p>
    <w:bookmarkEnd w:id="361"/>
    <w:bookmarkEnd w:id="362"/>
    <w:bookmarkEnd w:id="363"/>
    <w:p w14:paraId="7720B05F">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w:t>
      </w:r>
      <w:bookmarkStart w:id="364" w:name="_Toc318581177"/>
      <w:bookmarkStart w:id="365" w:name="_Toc312677509"/>
      <w:bookmarkStart w:id="366" w:name="_Toc312678035"/>
      <w:r>
        <w:rPr>
          <w:rFonts w:hint="eastAsia" w:ascii="宋体" w:hAnsi="宋体" w:eastAsia="宋体" w:cs="宋体"/>
          <w:color w:val="auto"/>
          <w:sz w:val="21"/>
          <w:szCs w:val="21"/>
        </w:rPr>
        <w:t>0.7.1依法必须招标的暂估价项目</w:t>
      </w:r>
    </w:p>
    <w:bookmarkEnd w:id="364"/>
    <w:bookmarkEnd w:id="365"/>
    <w:bookmarkEnd w:id="366"/>
    <w:p w14:paraId="272DD7B7">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6AC49CF7">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10.7.2不属于依法必须招标的暂估价项目：</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w:t>
      </w:r>
    </w:p>
    <w:p w14:paraId="7D7A73E3">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kern w:val="0"/>
          <w:sz w:val="21"/>
          <w:szCs w:val="21"/>
        </w:rPr>
      </w:pPr>
      <w:r>
        <w:rPr>
          <w:rFonts w:hint="eastAsia" w:ascii="宋体" w:hAnsi="宋体" w:eastAsia="宋体" w:cs="宋体"/>
          <w:color w:val="auto"/>
          <w:sz w:val="21"/>
          <w:szCs w:val="21"/>
        </w:rPr>
        <w:t>第3种方式：</w:t>
      </w:r>
      <w:r>
        <w:rPr>
          <w:rFonts w:hint="eastAsia" w:ascii="宋体" w:hAnsi="宋体" w:eastAsia="宋体" w:cs="宋体"/>
          <w:color w:val="auto"/>
          <w:kern w:val="0"/>
          <w:sz w:val="21"/>
          <w:szCs w:val="21"/>
        </w:rPr>
        <w:t>承包人直接实施的暂估价项目</w:t>
      </w:r>
    </w:p>
    <w:p w14:paraId="5872A651">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6D1D08C">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10.8 暂列金额</w:t>
      </w:r>
    </w:p>
    <w:p w14:paraId="4412541E">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2D1B85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创标化工地增加费计算方法</w:t>
      </w:r>
      <w:r>
        <w:rPr>
          <w:rFonts w:hint="eastAsia" w:ascii="宋体" w:hAnsi="宋体" w:eastAsia="宋体" w:cs="宋体"/>
          <w:color w:val="auto"/>
          <w:kern w:val="0"/>
          <w:sz w:val="21"/>
          <w:szCs w:val="21"/>
          <w:u w:val="single"/>
        </w:rPr>
        <w:t>：本工程无创标化工地目标。</w:t>
      </w:r>
    </w:p>
    <w:p w14:paraId="5F7A982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eastAsia="宋体" w:cs="宋体"/>
          <w:color w:val="auto"/>
          <w:kern w:val="0"/>
          <w:sz w:val="21"/>
          <w:szCs w:val="21"/>
        </w:rPr>
      </w:pPr>
      <w:r>
        <w:rPr>
          <w:rFonts w:hint="eastAsia" w:ascii="宋体" w:hAnsi="宋体" w:eastAsia="宋体" w:cs="宋体"/>
          <w:color w:val="auto"/>
          <w:kern w:val="0"/>
          <w:sz w:val="21"/>
          <w:szCs w:val="21"/>
        </w:rPr>
        <w:t>创优质工程增加费计算方法</w:t>
      </w:r>
      <w:r>
        <w:rPr>
          <w:rFonts w:hint="eastAsia" w:ascii="宋体" w:hAnsi="宋体" w:eastAsia="宋体" w:cs="宋体"/>
          <w:color w:val="auto"/>
          <w:kern w:val="0"/>
          <w:sz w:val="21"/>
          <w:szCs w:val="21"/>
          <w:u w:val="single"/>
        </w:rPr>
        <w:t>：本工程无创优质工程目标。</w:t>
      </w:r>
    </w:p>
    <w:p w14:paraId="0AC87689">
      <w:pPr>
        <w:pStyle w:val="7"/>
        <w:keepNext w:val="0"/>
        <w:keepLines w:val="0"/>
        <w:pageBreakBefore w:val="0"/>
        <w:widowControl w:val="0"/>
        <w:kinsoku/>
        <w:wordWrap/>
        <w:overflowPunct/>
        <w:topLinePunct w:val="0"/>
        <w:bidi w:val="0"/>
        <w:snapToGrid/>
        <w:spacing w:before="0" w:after="0" w:line="380" w:lineRule="exact"/>
        <w:textAlignment w:val="auto"/>
        <w:rPr>
          <w:rFonts w:ascii="宋体" w:hAnsi="宋体" w:cs="宋体"/>
          <w:b w:val="0"/>
          <w:color w:val="auto"/>
          <w:sz w:val="21"/>
          <w:szCs w:val="21"/>
        </w:rPr>
      </w:pPr>
      <w:bookmarkStart w:id="367" w:name="_Toc351203643"/>
      <w:r>
        <w:rPr>
          <w:rFonts w:hint="eastAsia" w:ascii="宋体" w:hAnsi="宋体" w:cs="宋体"/>
          <w:b w:val="0"/>
          <w:color w:val="auto"/>
          <w:sz w:val="21"/>
          <w:szCs w:val="21"/>
        </w:rPr>
        <w:t>11．价格调整</w:t>
      </w:r>
      <w:bookmarkEnd w:id="367"/>
    </w:p>
    <w:p w14:paraId="7C885E49">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eastAsia="宋体" w:cs="宋体"/>
          <w:color w:val="auto"/>
          <w:sz w:val="21"/>
          <w:szCs w:val="21"/>
        </w:rPr>
      </w:pPr>
      <w:bookmarkStart w:id="368" w:name="_Toc296891029"/>
      <w:bookmarkStart w:id="369" w:name="_Toc304295577"/>
      <w:bookmarkStart w:id="370" w:name="_Toc296503201"/>
      <w:bookmarkStart w:id="371" w:name="_Toc297120501"/>
      <w:bookmarkStart w:id="372" w:name="_Toc296346702"/>
      <w:bookmarkStart w:id="373" w:name="_Toc297123550"/>
      <w:bookmarkStart w:id="374" w:name="_Toc296347200"/>
      <w:bookmarkStart w:id="375" w:name="_Toc300935000"/>
      <w:bookmarkStart w:id="376" w:name="_Toc297216209"/>
      <w:bookmarkStart w:id="377" w:name="_Toc296944540"/>
      <w:bookmarkStart w:id="378" w:name="_Toc297048387"/>
      <w:bookmarkStart w:id="379" w:name="_Toc292559911"/>
      <w:bookmarkStart w:id="380" w:name="_Toc303539157"/>
      <w:bookmarkStart w:id="381" w:name="_Toc296891241"/>
      <w:bookmarkStart w:id="382" w:name="_Toc292559406"/>
      <w:bookmarkStart w:id="383" w:name="_Toc312678039"/>
      <w:r>
        <w:rPr>
          <w:rFonts w:hint="eastAsia" w:ascii="宋体" w:hAnsi="宋体" w:eastAsia="宋体" w:cs="宋体"/>
          <w:color w:val="auto"/>
          <w:sz w:val="21"/>
          <w:szCs w:val="21"/>
        </w:rPr>
        <w:t>11.1 市场价格波动引起的调整</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42047B73">
      <w:pPr>
        <w:spacing w:line="380" w:lineRule="exact"/>
        <w:ind w:firstLine="388" w:firstLineChars="185"/>
        <w:rPr>
          <w:rFonts w:ascii="宋体" w:hAnsi="宋体" w:eastAsia="宋体" w:cs="宋体"/>
          <w:color w:val="auto"/>
          <w:sz w:val="21"/>
          <w:szCs w:val="21"/>
          <w:u w:val="single"/>
        </w:rPr>
      </w:pPr>
      <w:r>
        <w:rPr>
          <w:rFonts w:hint="eastAsia" w:ascii="宋体" w:hAnsi="宋体" w:eastAsia="宋体" w:cs="宋体"/>
          <w:color w:val="auto"/>
          <w:kern w:val="0"/>
          <w:sz w:val="21"/>
          <w:szCs w:val="21"/>
        </w:rPr>
        <w:t>市场价格波动是否调整合同价格的约定</w:t>
      </w:r>
      <w:r>
        <w:rPr>
          <w:rFonts w:hint="eastAsia" w:ascii="宋体" w:hAnsi="宋体" w:eastAsia="宋体" w:cs="宋体"/>
          <w:color w:val="auto"/>
          <w:kern w:val="0"/>
          <w:sz w:val="21"/>
          <w:szCs w:val="21"/>
          <w:u w:val="single"/>
        </w:rPr>
        <w:t>：不做调整</w:t>
      </w:r>
      <w:r>
        <w:rPr>
          <w:rFonts w:hint="eastAsia" w:ascii="宋体" w:hAnsi="宋体" w:eastAsia="宋体" w:cs="宋体"/>
          <w:color w:val="auto"/>
          <w:sz w:val="21"/>
          <w:szCs w:val="21"/>
          <w:u w:val="single"/>
        </w:rPr>
        <w:t>。</w:t>
      </w:r>
    </w:p>
    <w:p w14:paraId="423C501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11.2 法律变化引起的调整 ：</w:t>
      </w:r>
      <w:r>
        <w:rPr>
          <w:rFonts w:hint="eastAsia" w:ascii="宋体" w:hAnsi="宋体" w:eastAsia="宋体" w:cs="宋体"/>
          <w:color w:val="auto"/>
          <w:sz w:val="21"/>
          <w:szCs w:val="21"/>
          <w:u w:val="single"/>
        </w:rPr>
        <w:t xml:space="preserve">  基准日期以后变化由发包人承担，但由承包人原因导致工期延误时的法律变化引起合同价增加的由承包人承担，合同价下降的由发包人受益。</w:t>
      </w:r>
    </w:p>
    <w:bookmarkEnd w:id="271"/>
    <w:bookmarkEnd w:id="272"/>
    <w:bookmarkEnd w:id="273"/>
    <w:bookmarkEnd w:id="274"/>
    <w:bookmarkEnd w:id="275"/>
    <w:bookmarkEnd w:id="276"/>
    <w:p w14:paraId="3DB59B21">
      <w:pPr>
        <w:pStyle w:val="7"/>
        <w:keepNext w:val="0"/>
        <w:keepLines w:val="0"/>
        <w:spacing w:before="0" w:after="0" w:line="380" w:lineRule="exact"/>
        <w:rPr>
          <w:rFonts w:ascii="宋体" w:hAnsi="宋体" w:cs="宋体"/>
          <w:b w:val="0"/>
          <w:color w:val="auto"/>
          <w:sz w:val="21"/>
          <w:szCs w:val="21"/>
        </w:rPr>
      </w:pPr>
      <w:bookmarkStart w:id="384" w:name="_Toc297048391"/>
      <w:bookmarkStart w:id="385" w:name="_Toc292559410"/>
      <w:bookmarkStart w:id="386" w:name="_Toc296346706"/>
      <w:bookmarkStart w:id="387" w:name="_Toc296944544"/>
      <w:bookmarkStart w:id="388" w:name="_Toc296503205"/>
      <w:bookmarkStart w:id="389" w:name="_Toc292559915"/>
      <w:bookmarkStart w:id="390" w:name="_Toc297120505"/>
      <w:bookmarkStart w:id="391" w:name="_Toc296347204"/>
      <w:bookmarkStart w:id="392" w:name="_Toc296891033"/>
      <w:bookmarkStart w:id="393" w:name="_Toc296891245"/>
      <w:bookmarkStart w:id="394" w:name="_Toc351203644"/>
      <w:bookmarkStart w:id="395" w:name="_Toc312678040"/>
      <w:bookmarkStart w:id="396" w:name="_Toc304295579"/>
      <w:bookmarkStart w:id="397" w:name="_Toc300935002"/>
      <w:bookmarkStart w:id="398" w:name="_Toc297123552"/>
      <w:bookmarkStart w:id="399" w:name="_Toc297216211"/>
      <w:bookmarkStart w:id="400" w:name="_Toc303539159"/>
      <w:r>
        <w:rPr>
          <w:rFonts w:hint="eastAsia" w:ascii="宋体" w:hAnsi="宋体" w:cs="宋体"/>
          <w:b w:val="0"/>
          <w:color w:val="auto"/>
          <w:sz w:val="21"/>
          <w:szCs w:val="21"/>
        </w:rPr>
        <w:t>12</w:t>
      </w:r>
      <w:bookmarkEnd w:id="384"/>
      <w:bookmarkEnd w:id="385"/>
      <w:bookmarkEnd w:id="386"/>
      <w:bookmarkEnd w:id="387"/>
      <w:bookmarkEnd w:id="388"/>
      <w:bookmarkEnd w:id="389"/>
      <w:bookmarkEnd w:id="390"/>
      <w:bookmarkEnd w:id="391"/>
      <w:bookmarkEnd w:id="392"/>
      <w:bookmarkEnd w:id="393"/>
      <w:r>
        <w:rPr>
          <w:rFonts w:hint="eastAsia" w:ascii="宋体" w:hAnsi="宋体" w:cs="宋体"/>
          <w:b w:val="0"/>
          <w:color w:val="auto"/>
          <w:sz w:val="21"/>
          <w:szCs w:val="21"/>
        </w:rPr>
        <w:t>．合同价格、计量与支付</w:t>
      </w:r>
      <w:bookmarkEnd w:id="394"/>
    </w:p>
    <w:bookmarkEnd w:id="395"/>
    <w:bookmarkEnd w:id="396"/>
    <w:bookmarkEnd w:id="397"/>
    <w:bookmarkEnd w:id="398"/>
    <w:bookmarkEnd w:id="399"/>
    <w:bookmarkEnd w:id="400"/>
    <w:p w14:paraId="17CBFFA9">
      <w:pPr>
        <w:spacing w:line="380" w:lineRule="exact"/>
        <w:ind w:firstLine="420" w:firstLineChars="200"/>
        <w:rPr>
          <w:rFonts w:ascii="宋体" w:hAnsi="宋体" w:eastAsia="宋体" w:cs="宋体"/>
          <w:color w:val="auto"/>
          <w:sz w:val="21"/>
          <w:szCs w:val="21"/>
        </w:rPr>
      </w:pPr>
      <w:bookmarkStart w:id="401" w:name="_Toc292559916"/>
      <w:bookmarkStart w:id="402" w:name="_Toc292559411"/>
      <w:bookmarkStart w:id="403" w:name="_Toc267251461"/>
      <w:bookmarkStart w:id="404" w:name="_Toc296346707"/>
      <w:bookmarkStart w:id="405" w:name="_Toc297120506"/>
      <w:bookmarkStart w:id="406" w:name="_Toc296891246"/>
      <w:bookmarkStart w:id="407" w:name="_Toc296347205"/>
      <w:bookmarkStart w:id="408" w:name="_Toc296891034"/>
      <w:bookmarkStart w:id="409" w:name="_Toc296503206"/>
      <w:bookmarkStart w:id="410" w:name="_Toc296944545"/>
      <w:bookmarkStart w:id="411" w:name="_Toc297048392"/>
      <w:bookmarkStart w:id="412" w:name="_Toc297216212"/>
      <w:bookmarkStart w:id="413" w:name="_Toc300935003"/>
      <w:bookmarkStart w:id="414" w:name="_Toc304295580"/>
      <w:bookmarkStart w:id="415" w:name="_Toc303539160"/>
      <w:bookmarkStart w:id="416" w:name="_Toc297123553"/>
      <w:bookmarkStart w:id="417" w:name="_Toc312678041"/>
      <w:r>
        <w:rPr>
          <w:rFonts w:hint="eastAsia" w:ascii="宋体" w:hAnsi="宋体" w:eastAsia="宋体" w:cs="宋体"/>
          <w:color w:val="auto"/>
          <w:sz w:val="21"/>
          <w:szCs w:val="21"/>
        </w:rPr>
        <w:t>12.1 合</w:t>
      </w:r>
      <w:bookmarkEnd w:id="401"/>
      <w:bookmarkEnd w:id="402"/>
      <w:bookmarkEnd w:id="403"/>
      <w:r>
        <w:rPr>
          <w:rFonts w:hint="eastAsia" w:ascii="宋体" w:hAnsi="宋体" w:eastAsia="宋体" w:cs="宋体"/>
          <w:color w:val="auto"/>
          <w:sz w:val="21"/>
          <w:szCs w:val="21"/>
        </w:rPr>
        <w:t>同价</w:t>
      </w:r>
      <w:bookmarkEnd w:id="404"/>
      <w:bookmarkEnd w:id="405"/>
      <w:bookmarkEnd w:id="406"/>
      <w:bookmarkEnd w:id="407"/>
      <w:bookmarkEnd w:id="408"/>
      <w:bookmarkEnd w:id="409"/>
      <w:bookmarkEnd w:id="410"/>
      <w:bookmarkEnd w:id="411"/>
      <w:r>
        <w:rPr>
          <w:rFonts w:hint="eastAsia" w:ascii="宋体" w:hAnsi="宋体" w:eastAsia="宋体" w:cs="宋体"/>
          <w:color w:val="auto"/>
          <w:sz w:val="21"/>
          <w:szCs w:val="21"/>
        </w:rPr>
        <w:t>格形式</w:t>
      </w:r>
    </w:p>
    <w:p w14:paraId="42ED2F05">
      <w:pPr>
        <w:pStyle w:val="13"/>
        <w:adjustRightInd w:val="0"/>
        <w:spacing w:line="380" w:lineRule="exact"/>
        <w:ind w:firstLine="420" w:firstLineChars="200"/>
        <w:rPr>
          <w:rFonts w:hAnsi="宋体" w:eastAsia="宋体" w:cs="宋体"/>
          <w:color w:val="auto"/>
          <w:szCs w:val="21"/>
        </w:rPr>
      </w:pPr>
      <w:r>
        <w:rPr>
          <w:rFonts w:hint="eastAsia" w:hAnsi="宋体" w:eastAsia="宋体" w:cs="宋体"/>
          <w:color w:val="auto"/>
          <w:szCs w:val="21"/>
        </w:rPr>
        <w:t xml:space="preserve">本合同价款采用第 </w:t>
      </w:r>
      <w:r>
        <w:rPr>
          <w:rFonts w:hint="eastAsia" w:hAnsi="宋体" w:eastAsia="宋体" w:cs="宋体"/>
          <w:color w:val="auto"/>
          <w:szCs w:val="21"/>
          <w:u w:val="single"/>
        </w:rPr>
        <w:t xml:space="preserve"> 1  </w:t>
      </w:r>
      <w:r>
        <w:rPr>
          <w:rFonts w:hint="eastAsia" w:hAnsi="宋体" w:eastAsia="宋体" w:cs="宋体"/>
          <w:color w:val="auto"/>
          <w:szCs w:val="21"/>
        </w:rPr>
        <w:t>种方式</w:t>
      </w:r>
      <w:r>
        <w:rPr>
          <w:rFonts w:hint="eastAsia" w:hAnsi="宋体" w:eastAsia="宋体" w:cs="宋体"/>
          <w:color w:val="auto"/>
          <w:szCs w:val="21"/>
          <w:u w:val="single"/>
        </w:rPr>
        <w:t xml:space="preserve">  单价合同 </w:t>
      </w:r>
      <w:r>
        <w:rPr>
          <w:rFonts w:hint="eastAsia" w:hAnsi="宋体" w:eastAsia="宋体" w:cs="宋体"/>
          <w:color w:val="auto"/>
          <w:szCs w:val="21"/>
        </w:rPr>
        <w:t xml:space="preserve"> 确定。</w:t>
      </w:r>
    </w:p>
    <w:bookmarkEnd w:id="412"/>
    <w:bookmarkEnd w:id="413"/>
    <w:bookmarkEnd w:id="414"/>
    <w:bookmarkEnd w:id="415"/>
    <w:bookmarkEnd w:id="416"/>
    <w:bookmarkEnd w:id="417"/>
    <w:p w14:paraId="39D14F7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1．单价合同。</w:t>
      </w:r>
    </w:p>
    <w:p w14:paraId="7A567FED">
      <w:pPr>
        <w:spacing w:line="380" w:lineRule="exact"/>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综合单价包含的风险范围：</w:t>
      </w:r>
    </w:p>
    <w:p w14:paraId="6439E6EE">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本工程结算价的计算方式同投标价。除风险范围以外约定的调整外，以下内容按承包人的投标承诺不作调整：</w:t>
      </w:r>
    </w:p>
    <w:p w14:paraId="4D529D98">
      <w:pPr>
        <w:autoSpaceDE w:val="0"/>
        <w:autoSpaceDN w:val="0"/>
        <w:spacing w:line="380" w:lineRule="exact"/>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u w:val="single"/>
        </w:rPr>
        <w:t>（1）综合单价；</w:t>
      </w:r>
      <w:r>
        <w:rPr>
          <w:rFonts w:hint="eastAsia" w:ascii="宋体" w:hAnsi="宋体" w:eastAsia="宋体" w:cs="宋体"/>
          <w:color w:val="auto"/>
          <w:sz w:val="21"/>
          <w:szCs w:val="21"/>
          <w:u w:val="single"/>
          <w:lang w:eastAsia="zh-CN"/>
        </w:rPr>
        <w:t>（暂定价除外）</w:t>
      </w:r>
    </w:p>
    <w:p w14:paraId="614EEF3F">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（2）施工组织措施项目费的费项及费率；</w:t>
      </w:r>
    </w:p>
    <w:p w14:paraId="238AA336">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（3）规费费率、税金税率；</w:t>
      </w:r>
    </w:p>
    <w:p w14:paraId="1430B34C">
      <w:pPr>
        <w:autoSpaceDE w:val="0"/>
        <w:autoSpaceDN w:val="0"/>
        <w:spacing w:line="3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（4）计日工单价：技术工（260）元/工日、普工（180）元/工日，工日数经发包人签证;该项费用仅另计算税金；</w:t>
      </w:r>
    </w:p>
    <w:p w14:paraId="64A8D4B7">
      <w:pPr>
        <w:autoSpaceDE w:val="0"/>
        <w:autoSpaceDN w:val="0"/>
        <w:spacing w:line="3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（5）其他可能发生的费用：</w:t>
      </w:r>
    </w:p>
    <w:p w14:paraId="12FBC16D">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a.因施工噪音、物体坠落、材料抛散而扰民及影响环境卫生、交通城管、现场文明和施工安全等问题而产生的费用，由承包人自行解决；</w:t>
      </w:r>
    </w:p>
    <w:p w14:paraId="0807A81C">
      <w:pPr>
        <w:autoSpaceDE w:val="0"/>
        <w:autoSpaceDN w:val="0"/>
        <w:spacing w:line="3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b.实际施工中可能发生街道管理费、干扰费、环保费、占道押金等其它费用；</w:t>
      </w:r>
    </w:p>
    <w:p w14:paraId="07CB469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风险费用的计算方法：</w:t>
      </w:r>
      <w:r>
        <w:rPr>
          <w:rFonts w:hint="eastAsia" w:ascii="宋体" w:hAnsi="宋体" w:eastAsia="宋体" w:cs="宋体"/>
          <w:color w:val="auto"/>
          <w:sz w:val="21"/>
          <w:szCs w:val="21"/>
          <w:u w:val="single"/>
        </w:rPr>
        <w:t>已包含在合同价内</w:t>
      </w:r>
      <w:r>
        <w:rPr>
          <w:rFonts w:hint="eastAsia" w:ascii="宋体" w:hAnsi="宋体" w:eastAsia="宋体" w:cs="宋体"/>
          <w:color w:val="auto"/>
          <w:sz w:val="21"/>
          <w:szCs w:val="21"/>
        </w:rPr>
        <w:t>。</w:t>
      </w:r>
    </w:p>
    <w:p w14:paraId="4CC62F0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p>
    <w:p w14:paraId="01C7BC3B">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lang w:val="zh-CN"/>
        </w:rPr>
        <w:t>（1）</w:t>
      </w:r>
      <w:r>
        <w:rPr>
          <w:rFonts w:hint="eastAsia" w:ascii="宋体" w:hAnsi="宋体" w:eastAsia="宋体" w:cs="宋体"/>
          <w:color w:val="auto"/>
          <w:sz w:val="21"/>
          <w:szCs w:val="21"/>
          <w:u w:val="single"/>
        </w:rPr>
        <w:t>工程量按照专用条款12.3.1条规定，由承包人计量，发包人及其委托的相关机构审核。</w:t>
      </w:r>
    </w:p>
    <w:p w14:paraId="59282373">
      <w:pPr>
        <w:autoSpaceDE w:val="0"/>
        <w:autoSpaceDN w:val="0"/>
        <w:spacing w:line="380" w:lineRule="exact"/>
        <w:ind w:firstLine="420" w:firstLineChars="200"/>
        <w:rPr>
          <w:rFonts w:ascii="宋体" w:hAnsi="宋体" w:eastAsia="宋体" w:cs="宋体"/>
          <w:color w:val="auto"/>
          <w:sz w:val="21"/>
          <w:szCs w:val="21"/>
          <w:u w:val="single"/>
          <w:lang w:val="zh-CN"/>
        </w:rPr>
      </w:pPr>
      <w:r>
        <w:rPr>
          <w:rFonts w:hint="eastAsia" w:ascii="宋体" w:hAnsi="宋体" w:eastAsia="宋体" w:cs="宋体"/>
          <w:color w:val="auto"/>
          <w:sz w:val="21"/>
          <w:szCs w:val="21"/>
          <w:u w:val="single"/>
        </w:rPr>
        <w:t>（2）</w:t>
      </w:r>
      <w:r>
        <w:rPr>
          <w:rFonts w:hint="eastAsia" w:ascii="宋体" w:hAnsi="宋体" w:eastAsia="宋体" w:cs="宋体"/>
          <w:color w:val="auto"/>
          <w:kern w:val="0"/>
          <w:sz w:val="21"/>
          <w:szCs w:val="21"/>
          <w:u w:val="single"/>
        </w:rPr>
        <w:t>市场价格波动引起的调整按</w:t>
      </w:r>
      <w:r>
        <w:rPr>
          <w:rFonts w:hint="eastAsia" w:ascii="宋体" w:hAnsi="宋体" w:eastAsia="宋体" w:cs="宋体"/>
          <w:color w:val="auto"/>
          <w:sz w:val="21"/>
          <w:szCs w:val="21"/>
          <w:u w:val="single"/>
        </w:rPr>
        <w:t>专用合同条款第11.1款约定调整。</w:t>
      </w:r>
    </w:p>
    <w:p w14:paraId="6473931E">
      <w:pPr>
        <w:autoSpaceDE w:val="0"/>
        <w:autoSpaceDN w:val="0"/>
        <w:spacing w:line="380" w:lineRule="exact"/>
        <w:ind w:firstLine="420" w:firstLineChars="200"/>
        <w:rPr>
          <w:rFonts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（3）因发包人提供的工程量清单项目工程数量计算偏差或工程变更引起的</w:t>
      </w:r>
      <w:r>
        <w:rPr>
          <w:rFonts w:hint="eastAsia" w:ascii="宋体" w:hAnsi="宋体" w:eastAsia="宋体" w:cs="宋体"/>
          <w:color w:val="auto"/>
          <w:sz w:val="21"/>
          <w:szCs w:val="21"/>
          <w:u w:val="single"/>
        </w:rPr>
        <w:t>工程量增加，综合单价的确定按专用条款10.4.1条执行；</w:t>
      </w:r>
    </w:p>
    <w:p w14:paraId="7E3B76C6">
      <w:pPr>
        <w:autoSpaceDE w:val="0"/>
        <w:autoSpaceDN w:val="0"/>
        <w:spacing w:line="380" w:lineRule="exact"/>
        <w:ind w:firstLine="420" w:firstLineChars="200"/>
        <w:rPr>
          <w:rFonts w:ascii="宋体" w:hAnsi="宋体" w:eastAsia="宋体" w:cs="宋体"/>
          <w:color w:val="auto"/>
          <w:sz w:val="21"/>
          <w:szCs w:val="21"/>
          <w:u w:val="single"/>
          <w:lang w:val="zh-CN"/>
        </w:rPr>
      </w:pPr>
      <w:r>
        <w:rPr>
          <w:rFonts w:hint="eastAsia" w:ascii="宋体" w:hAnsi="宋体" w:eastAsia="宋体" w:cs="宋体"/>
          <w:color w:val="auto"/>
          <w:sz w:val="21"/>
          <w:szCs w:val="21"/>
          <w:u w:val="single"/>
          <w:lang w:val="zh-CN"/>
        </w:rPr>
        <w:t>（4）发包人提供的工程量清单项目漏项、错项、工程变更引起的新增项目、工程量清单项目特征局部变更，</w:t>
      </w:r>
      <w:r>
        <w:rPr>
          <w:rFonts w:hint="eastAsia" w:ascii="宋体" w:hAnsi="宋体" w:eastAsia="宋体" w:cs="宋体"/>
          <w:color w:val="auto"/>
          <w:sz w:val="21"/>
          <w:szCs w:val="21"/>
          <w:u w:val="single"/>
        </w:rPr>
        <w:t>与已标价工程量清单项目不同或相类似项目，</w:t>
      </w:r>
      <w:r>
        <w:rPr>
          <w:rFonts w:hint="eastAsia" w:ascii="宋体" w:hAnsi="宋体" w:eastAsia="宋体" w:cs="宋体"/>
          <w:color w:val="auto"/>
          <w:sz w:val="21"/>
          <w:szCs w:val="21"/>
          <w:u w:val="single"/>
          <w:lang w:val="zh-CN"/>
        </w:rPr>
        <w:t>其综合单价的确定方法</w:t>
      </w:r>
      <w:r>
        <w:rPr>
          <w:rFonts w:hint="eastAsia" w:ascii="宋体" w:hAnsi="宋体" w:eastAsia="宋体" w:cs="宋体"/>
          <w:color w:val="auto"/>
          <w:sz w:val="21"/>
          <w:szCs w:val="21"/>
          <w:u w:val="single"/>
        </w:rPr>
        <w:t>按专用条款10.4.1条约定调整。</w:t>
      </w:r>
    </w:p>
    <w:p w14:paraId="331FB6D4">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（5）因非承包人原因的分部分项工程量清单漏项、错项、工程变更及清单工程量增减等，引起措施项目内容、工程数量发生变化，则调整措施项目费用：</w:t>
      </w:r>
    </w:p>
    <w:p w14:paraId="1B5A54D5">
      <w:pPr>
        <w:autoSpaceDE w:val="0"/>
        <w:autoSpaceDN w:val="0"/>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a、采用综合单价计价的按专用条款第10.4.1条计算综合单价。</w:t>
      </w:r>
    </w:p>
    <w:p w14:paraId="5A552DE7">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b、计量单位采用以“项”计价的措施项目，工程量清单项目及工程数量变化引起措施变动部分重新组价。</w:t>
      </w:r>
    </w:p>
    <w:p w14:paraId="61086808">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u w:val="single"/>
        </w:rPr>
        <w:t>c、施工组织措施项目，按合同约定费率内容，调整措施费用计算基数。</w:t>
      </w:r>
    </w:p>
    <w:p w14:paraId="3F9192CF">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（6）未在投标价中包含的专项施工方案（注：主要指超过一定规模的危险性较大的分部分项工程）的施工及论证费用，根据施工现场实际参照合同专用条款10.4.1款约定方法确定或签证。</w:t>
      </w:r>
    </w:p>
    <w:p w14:paraId="55FF438D">
      <w:pPr>
        <w:pStyle w:val="2"/>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（7）建筑垃圾消纳费暂按一项10000元考虑，结算时按实签证结算。</w:t>
      </w:r>
    </w:p>
    <w:p w14:paraId="3D60CC55">
      <w:pPr>
        <w:pStyle w:val="3"/>
        <w:keepNext w:val="0"/>
        <w:keepLines w:val="0"/>
        <w:pageBreakBefore w:val="0"/>
        <w:widowControl w:val="0"/>
        <w:kinsoku/>
        <w:wordWrap/>
        <w:overflowPunct/>
        <w:topLinePunct w:val="0"/>
        <w:bidi w:val="0"/>
        <w:adjustRightInd/>
        <w:snapToGrid/>
        <w:spacing w:line="380" w:lineRule="exact"/>
        <w:ind w:firstLine="420" w:firstLineChars="200"/>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single"/>
          <w:lang w:val="en-US" w:eastAsia="zh-CN" w:bidi="ar-SA"/>
        </w:rPr>
        <w:t>（8）现状家具搬运暂按一项12000元，结算按时签证结算。</w:t>
      </w:r>
    </w:p>
    <w:p w14:paraId="3BD8A21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2．总价合同。</w:t>
      </w:r>
    </w:p>
    <w:p w14:paraId="3B98E12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3349D4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1D6FAE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1FF03E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53592FB">
      <w:pPr>
        <w:spacing w:line="380" w:lineRule="exact"/>
        <w:ind w:firstLine="420" w:firstLineChars="200"/>
        <w:rPr>
          <w:rFonts w:ascii="宋体" w:hAnsi="宋体" w:eastAsia="宋体" w:cs="宋体"/>
          <w:color w:val="auto"/>
          <w:sz w:val="21"/>
          <w:szCs w:val="21"/>
        </w:rPr>
      </w:pPr>
      <w:bookmarkStart w:id="418" w:name="_Toc297216213"/>
      <w:bookmarkStart w:id="419" w:name="_Toc303539161"/>
      <w:bookmarkStart w:id="420" w:name="_Toc312678042"/>
      <w:bookmarkStart w:id="421" w:name="_Toc297123554"/>
      <w:bookmarkStart w:id="422" w:name="_Toc300935004"/>
      <w:bookmarkStart w:id="423" w:name="_Toc304295581"/>
      <w:bookmarkStart w:id="424" w:name="_Toc292559412"/>
      <w:bookmarkStart w:id="425" w:name="_Toc296503207"/>
      <w:bookmarkStart w:id="426" w:name="_Toc292559917"/>
      <w:bookmarkStart w:id="427" w:name="_Toc296347206"/>
      <w:bookmarkStart w:id="428" w:name="_Toc296944546"/>
      <w:bookmarkStart w:id="429" w:name="_Toc296346708"/>
      <w:bookmarkStart w:id="430" w:name="_Toc296891247"/>
      <w:bookmarkStart w:id="431" w:name="_Toc297120507"/>
      <w:bookmarkStart w:id="432" w:name="_Toc297048393"/>
      <w:bookmarkStart w:id="433" w:name="_Toc296891035"/>
      <w:r>
        <w:rPr>
          <w:rFonts w:hint="eastAsia" w:ascii="宋体" w:hAnsi="宋体" w:eastAsia="宋体" w:cs="宋体"/>
          <w:color w:val="auto"/>
          <w:sz w:val="21"/>
          <w:szCs w:val="21"/>
        </w:rPr>
        <w:t>12.2 预付款</w:t>
      </w:r>
    </w:p>
    <w:bookmarkEnd w:id="418"/>
    <w:bookmarkEnd w:id="419"/>
    <w:bookmarkEnd w:id="420"/>
    <w:bookmarkEnd w:id="421"/>
    <w:bookmarkEnd w:id="422"/>
    <w:bookmarkEnd w:id="423"/>
    <w:p w14:paraId="19C5429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12.2.1预付款的支付</w:t>
      </w:r>
    </w:p>
    <w:p w14:paraId="72F1EFA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预付款支付比例或金额：</w:t>
      </w:r>
      <w:r>
        <w:rPr>
          <w:rFonts w:hint="eastAsia" w:ascii="宋体" w:hAnsi="宋体" w:eastAsia="宋体" w:cs="宋体"/>
          <w:color w:val="auto"/>
          <w:sz w:val="21"/>
          <w:szCs w:val="21"/>
          <w:u w:val="single"/>
        </w:rPr>
        <w:t>签约合同价的10%，包含专用条款6.1.6条所列的安全文明施工费。</w:t>
      </w:r>
    </w:p>
    <w:p w14:paraId="32A09A7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预付款支付期限：</w:t>
      </w:r>
      <w:r>
        <w:rPr>
          <w:rFonts w:hint="eastAsia" w:ascii="宋体" w:hAnsi="宋体" w:eastAsia="宋体" w:cs="宋体"/>
          <w:color w:val="auto"/>
          <w:sz w:val="21"/>
          <w:szCs w:val="21"/>
          <w:u w:val="single"/>
        </w:rPr>
        <w:t>开工通知载明的开工日期7天前支付，预付款支付前承包人须提交银行、保险公司等金融机构出具的预付款保函或其他担保措施和正式的税务发票</w:t>
      </w:r>
      <w:r>
        <w:rPr>
          <w:rFonts w:hint="eastAsia" w:ascii="宋体" w:hAnsi="宋体" w:eastAsia="宋体" w:cs="宋体"/>
          <w:color w:val="auto"/>
          <w:sz w:val="21"/>
          <w:szCs w:val="21"/>
        </w:rPr>
        <w:t>。</w:t>
      </w:r>
    </w:p>
    <w:p w14:paraId="6B635D7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预付款扣回的方式：</w:t>
      </w:r>
      <w:r>
        <w:rPr>
          <w:rFonts w:hint="eastAsia" w:ascii="宋体" w:hAnsi="宋体" w:eastAsia="宋体" w:cs="宋体"/>
          <w:color w:val="auto"/>
          <w:sz w:val="21"/>
          <w:szCs w:val="21"/>
          <w:u w:val="single"/>
        </w:rPr>
        <w:t>不扣回。作为工程款，不抵扣每期应付进度款</w:t>
      </w:r>
      <w:r>
        <w:rPr>
          <w:rFonts w:hint="eastAsia" w:ascii="宋体" w:hAnsi="宋体" w:eastAsia="宋体" w:cs="宋体"/>
          <w:color w:val="auto"/>
          <w:sz w:val="21"/>
          <w:szCs w:val="21"/>
        </w:rPr>
        <w:t>。</w:t>
      </w:r>
    </w:p>
    <w:p w14:paraId="3D1FB5C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12.2.2预付款担保</w:t>
      </w:r>
    </w:p>
    <w:p w14:paraId="29F17EB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承包人提交预付款担保的期限：</w:t>
      </w:r>
      <w:r>
        <w:rPr>
          <w:rFonts w:hint="eastAsia" w:ascii="宋体" w:hAnsi="宋体" w:eastAsia="宋体" w:cs="宋体"/>
          <w:color w:val="auto"/>
          <w:sz w:val="21"/>
          <w:szCs w:val="21"/>
          <w:u w:val="single"/>
        </w:rPr>
        <w:t>预付款支付前</w:t>
      </w:r>
      <w:r>
        <w:rPr>
          <w:rFonts w:hint="eastAsia" w:ascii="宋体" w:hAnsi="宋体" w:eastAsia="宋体" w:cs="宋体"/>
          <w:color w:val="auto"/>
          <w:sz w:val="21"/>
          <w:szCs w:val="21"/>
        </w:rPr>
        <w:t>。</w:t>
      </w:r>
    </w:p>
    <w:p w14:paraId="14B93A9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预付款担保的形式为：</w:t>
      </w:r>
      <w:r>
        <w:rPr>
          <w:rFonts w:hint="eastAsia" w:ascii="宋体" w:hAnsi="宋体" w:eastAsia="宋体" w:cs="宋体"/>
          <w:color w:val="auto"/>
          <w:sz w:val="21"/>
          <w:szCs w:val="21"/>
          <w:u w:val="single"/>
          <w:lang w:eastAsia="zh-CN"/>
        </w:rPr>
        <w:t>银</w:t>
      </w:r>
      <w:r>
        <w:rPr>
          <w:rFonts w:hint="eastAsia" w:ascii="宋体" w:hAnsi="宋体" w:eastAsia="宋体" w:cs="宋体"/>
          <w:color w:val="auto"/>
          <w:sz w:val="21"/>
          <w:szCs w:val="21"/>
          <w:u w:val="single"/>
        </w:rPr>
        <w:t>行、保险公司等金融机构出具的预付款保函或其他担保措施</w:t>
      </w:r>
      <w:r>
        <w:rPr>
          <w:rFonts w:hint="eastAsia" w:ascii="宋体" w:hAnsi="宋体" w:eastAsia="宋体" w:cs="宋体"/>
          <w:color w:val="auto"/>
          <w:sz w:val="21"/>
          <w:szCs w:val="21"/>
        </w:rPr>
        <w:t>。</w:t>
      </w:r>
    </w:p>
    <w:bookmarkEnd w:id="424"/>
    <w:bookmarkEnd w:id="425"/>
    <w:bookmarkEnd w:id="426"/>
    <w:bookmarkEnd w:id="427"/>
    <w:bookmarkEnd w:id="428"/>
    <w:bookmarkEnd w:id="429"/>
    <w:bookmarkEnd w:id="430"/>
    <w:bookmarkEnd w:id="431"/>
    <w:bookmarkEnd w:id="432"/>
    <w:bookmarkEnd w:id="433"/>
    <w:p w14:paraId="7093AD7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 计量</w:t>
      </w:r>
    </w:p>
    <w:p w14:paraId="52F97B7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12.3.1计量原则</w:t>
      </w:r>
    </w:p>
    <w:p w14:paraId="52DF0C09">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工程量计算按照实际完成施工图纸范围内和经发包人同意增加的施工内容按实计算，工程量计算规则按照《房屋建筑与装饰工程工程量计算规范》（GB 50854－2013）、《仿古建筑工程工程量计算规范》（GB 50855－2013）、《通用安装工程工程量计算规范》（GB 50856－2013）、《市政工程工程量计算规范》（GB 50857－2013）、《园林绿化工程工程量计算规范》（GB 50858－2013）、《建设工程工程量计算规范（2013）浙江省补充规定》（浙建站计〔2013〕63号）、《建设工程工程量清单计算规范（2013）浙江省补充规定（二）》（浙建站计〔2014〕31号）及发包人提供的工程量清单中说明的工程量计算规则计量。</w:t>
      </w:r>
    </w:p>
    <w:p w14:paraId="107DA92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12.3.2计量周期：</w:t>
      </w:r>
    </w:p>
    <w:p w14:paraId="28EDA01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关于计量周期的约定：</w:t>
      </w:r>
      <w:r>
        <w:rPr>
          <w:rFonts w:hint="eastAsia" w:ascii="宋体" w:hAnsi="宋体" w:eastAsia="宋体" w:cs="宋体"/>
          <w:color w:val="auto"/>
          <w:sz w:val="21"/>
          <w:szCs w:val="21"/>
          <w:u w:val="single"/>
        </w:rPr>
        <w:t>按</w:t>
      </w:r>
      <w:r>
        <w:rPr>
          <w:rFonts w:hint="eastAsia" w:ascii="宋体" w:hAnsi="宋体" w:eastAsia="宋体" w:cs="宋体"/>
          <w:color w:val="auto"/>
          <w:sz w:val="21"/>
          <w:szCs w:val="21"/>
          <w:u w:val="single"/>
          <w:lang w:eastAsia="zh-CN"/>
        </w:rPr>
        <w:t>月</w:t>
      </w:r>
      <w:r>
        <w:rPr>
          <w:rFonts w:hint="eastAsia" w:ascii="宋体" w:hAnsi="宋体" w:eastAsia="宋体" w:cs="宋体"/>
          <w:color w:val="auto"/>
          <w:sz w:val="21"/>
          <w:szCs w:val="21"/>
          <w:u w:val="single"/>
        </w:rPr>
        <w:t>计量</w:t>
      </w:r>
      <w:r>
        <w:rPr>
          <w:rFonts w:hint="eastAsia" w:ascii="宋体" w:hAnsi="宋体" w:eastAsia="宋体" w:cs="宋体"/>
          <w:color w:val="auto"/>
          <w:sz w:val="21"/>
          <w:szCs w:val="21"/>
        </w:rPr>
        <w:t>。</w:t>
      </w:r>
    </w:p>
    <w:p w14:paraId="1690C2D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12.3.3单价合同的计量</w:t>
      </w:r>
    </w:p>
    <w:p w14:paraId="04D7D72F">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关于单价合同计量的约定：</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执行。</w:t>
      </w:r>
    </w:p>
    <w:p w14:paraId="7E623799">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sz w:val="21"/>
          <w:szCs w:val="21"/>
          <w:u w:val="single"/>
        </w:rPr>
        <w:t>（</w:t>
      </w:r>
      <w:r>
        <w:rPr>
          <w:rFonts w:hint="eastAsia" w:ascii="宋体" w:hAnsi="宋体" w:eastAsia="宋体" w:cs="宋体"/>
          <w:color w:val="auto"/>
          <w:kern w:val="0"/>
          <w:sz w:val="21"/>
          <w:szCs w:val="21"/>
          <w:u w:val="single"/>
        </w:rPr>
        <w:t>4）确认的当期工程量和单价仅作为当期工程进度款支付的依据。</w:t>
      </w:r>
    </w:p>
    <w:p w14:paraId="3FCC6AB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12.3.4总价合同的计量</w:t>
      </w:r>
    </w:p>
    <w:p w14:paraId="210E683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关于总价合同计量的约定：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128826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12.3.5总价合同采用支付分解表计量支付的，是否适用第</w:t>
      </w:r>
      <w:r>
        <w:rPr>
          <w:rFonts w:hint="eastAsia" w:ascii="宋体" w:hAnsi="宋体" w:eastAsia="宋体" w:cs="宋体"/>
          <w:color w:val="auto"/>
          <w:kern w:val="0"/>
          <w:sz w:val="21"/>
          <w:szCs w:val="21"/>
        </w:rPr>
        <w:t xml:space="preserve">12.3.4 </w:t>
      </w:r>
      <w:r>
        <w:rPr>
          <w:rFonts w:hint="eastAsia" w:ascii="宋体" w:hAnsi="宋体" w:eastAsia="宋体" w:cs="宋体"/>
          <w:color w:val="auto"/>
          <w:sz w:val="21"/>
          <w:szCs w:val="21"/>
        </w:rPr>
        <w:t>项</w:t>
      </w:r>
      <w:r>
        <w:rPr>
          <w:rFonts w:hint="eastAsia" w:ascii="宋体" w:hAnsi="宋体" w:eastAsia="宋体" w:cs="宋体"/>
          <w:color w:val="auto"/>
          <w:kern w:val="0"/>
          <w:sz w:val="21"/>
          <w:szCs w:val="21"/>
        </w:rPr>
        <w:t>〔总价合同的计量〕</w:t>
      </w:r>
      <w:r>
        <w:rPr>
          <w:rFonts w:hint="eastAsia" w:ascii="宋体" w:hAnsi="宋体" w:eastAsia="宋体" w:cs="宋体"/>
          <w:color w:val="auto"/>
          <w:sz w:val="21"/>
          <w:szCs w:val="21"/>
        </w:rPr>
        <w:t>约定进行计量：。</w:t>
      </w:r>
    </w:p>
    <w:p w14:paraId="56F8F80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12.3.6其他价格形式合同的计量</w:t>
      </w:r>
    </w:p>
    <w:p w14:paraId="7AC3F55C">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其他价格形式的计量方式和程序：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815F55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12.4 工程进度款支付</w:t>
      </w:r>
    </w:p>
    <w:p w14:paraId="596B6DDA">
      <w:pPr>
        <w:spacing w:line="380" w:lineRule="exact"/>
        <w:ind w:firstLine="420" w:firstLineChars="200"/>
        <w:rPr>
          <w:rFonts w:ascii="宋体" w:hAnsi="宋体" w:eastAsia="宋体" w:cs="宋体"/>
          <w:color w:val="auto"/>
          <w:sz w:val="21"/>
          <w:szCs w:val="21"/>
        </w:rPr>
      </w:pPr>
      <w:bookmarkStart w:id="434" w:name="_Toc292559416"/>
      <w:bookmarkStart w:id="435" w:name="_Toc297120511"/>
      <w:bookmarkStart w:id="436" w:name="_Toc296346712"/>
      <w:bookmarkStart w:id="437" w:name="_Toc296347210"/>
      <w:bookmarkStart w:id="438" w:name="_Toc296891251"/>
      <w:bookmarkStart w:id="439" w:name="_Toc303539163"/>
      <w:bookmarkStart w:id="440" w:name="_Toc296503211"/>
      <w:bookmarkStart w:id="441" w:name="_Toc297216215"/>
      <w:bookmarkStart w:id="442" w:name="_Toc300935006"/>
      <w:bookmarkStart w:id="443" w:name="_Toc296944550"/>
      <w:bookmarkStart w:id="444" w:name="_Toc297048397"/>
      <w:bookmarkStart w:id="445" w:name="_Toc292559921"/>
      <w:bookmarkStart w:id="446" w:name="_Toc297123556"/>
      <w:bookmarkStart w:id="447" w:name="_Toc296891039"/>
      <w:r>
        <w:rPr>
          <w:rFonts w:hint="eastAsia" w:ascii="宋体" w:hAnsi="宋体" w:eastAsia="宋体" w:cs="宋体"/>
          <w:color w:val="auto"/>
          <w:sz w:val="21"/>
          <w:szCs w:val="21"/>
        </w:rPr>
        <w:t>12.4.1付款周期</w:t>
      </w:r>
    </w:p>
    <w:p w14:paraId="6520B36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关于付款周期的约定：</w:t>
      </w:r>
      <w:r>
        <w:rPr>
          <w:rFonts w:hint="eastAsia" w:ascii="宋体" w:hAnsi="宋体" w:eastAsia="宋体" w:cs="宋体"/>
          <w:color w:val="auto"/>
          <w:sz w:val="21"/>
          <w:szCs w:val="21"/>
          <w:u w:val="single"/>
        </w:rPr>
        <w:t>按</w:t>
      </w:r>
      <w:r>
        <w:rPr>
          <w:rFonts w:hint="eastAsia" w:ascii="宋体" w:hAnsi="宋体" w:eastAsia="宋体" w:cs="宋体"/>
          <w:color w:val="auto"/>
          <w:sz w:val="21"/>
          <w:szCs w:val="21"/>
          <w:u w:val="single"/>
          <w:lang w:eastAsia="zh-CN"/>
        </w:rPr>
        <w:t>月</w:t>
      </w:r>
      <w:r>
        <w:rPr>
          <w:rFonts w:hint="eastAsia" w:ascii="宋体" w:hAnsi="宋体" w:eastAsia="宋体" w:cs="宋体"/>
          <w:color w:val="auto"/>
          <w:sz w:val="21"/>
          <w:szCs w:val="21"/>
          <w:u w:val="single"/>
        </w:rPr>
        <w:t>支付</w:t>
      </w:r>
      <w:r>
        <w:rPr>
          <w:rFonts w:hint="eastAsia" w:ascii="宋体" w:hAnsi="宋体" w:eastAsia="宋体" w:cs="宋体"/>
          <w:color w:val="auto"/>
          <w:sz w:val="21"/>
          <w:szCs w:val="21"/>
        </w:rPr>
        <w:t>。</w:t>
      </w:r>
    </w:p>
    <w:p w14:paraId="7FA133C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12.4.2进度付款申请单的编制</w:t>
      </w:r>
    </w:p>
    <w:p w14:paraId="142D43C1">
      <w:pPr>
        <w:spacing w:line="360" w:lineRule="auto"/>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u w:val="single"/>
        </w:rPr>
        <w:t>发包人向承包人支付当期按12.1、12.3款计量工程量价款的7</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rPr>
        <w:t>%工程价款（不包含10%预付款），待工程竣工验收合格后，</w:t>
      </w:r>
      <w:r>
        <w:rPr>
          <w:rFonts w:hint="eastAsia" w:ascii="宋体" w:hAnsi="宋体" w:eastAsia="宋体" w:cs="宋体"/>
          <w:color w:val="auto"/>
          <w:sz w:val="21"/>
          <w:szCs w:val="21"/>
          <w:u w:val="single"/>
          <w:lang w:eastAsia="zh-CN"/>
        </w:rPr>
        <w:t>付至合同价格的85%</w:t>
      </w:r>
      <w:r>
        <w:rPr>
          <w:rFonts w:hint="eastAsia" w:ascii="宋体" w:hAnsi="宋体" w:eastAsia="宋体" w:cs="宋体"/>
          <w:color w:val="auto"/>
          <w:sz w:val="21"/>
          <w:szCs w:val="21"/>
          <w:u w:val="single"/>
        </w:rPr>
        <w:t>（含预付款），</w:t>
      </w:r>
      <w:r>
        <w:rPr>
          <w:rFonts w:hint="eastAsia" w:ascii="宋体" w:hAnsi="宋体" w:eastAsia="宋体" w:cs="宋体"/>
          <w:color w:val="auto"/>
          <w:sz w:val="21"/>
          <w:szCs w:val="21"/>
          <w:u w:val="single"/>
          <w:lang w:eastAsia="zh-CN"/>
        </w:rPr>
        <w:t>工程结算经审定后，承包人提交工程质量保证金保函（保证金额为1.5%的工程结算价款）给发包人，然后发包人付清余款。工程实际竣工验收合格后满2年后工程质量保证金保函自动失效。所有款项均在承包人开具正式的税务发票且发包人收到发票后7个工作日内支付。</w:t>
      </w:r>
    </w:p>
    <w:p w14:paraId="68A78EBF">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其余</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6A6AEFB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hint="eastAsia" w:ascii="宋体" w:hAnsi="宋体" w:eastAsia="宋体" w:cs="宋体"/>
          <w:color w:val="auto"/>
          <w:sz w:val="21"/>
          <w:szCs w:val="21"/>
        </w:rPr>
        <w:t>2.4.3进度付款申请单的提交</w:t>
      </w:r>
    </w:p>
    <w:p w14:paraId="66C1E69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（1）单价合同进度付款申请单提交的约定：</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6EC44A9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（2）总价合同进度付款申请单提交的约定：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3934BF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（3）其他价格形式合同进度付款申请单提交的约定：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9A0F12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12.4.4进度款审核和支付</w:t>
      </w:r>
    </w:p>
    <w:p w14:paraId="1BEC8848">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（1）监理人审查并报送发包人的期限：</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558EAB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发包人完成审批并签发进度款支付证书的期限：</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rPr>
        <w:t>。</w:t>
      </w:r>
    </w:p>
    <w:p w14:paraId="55BCC148">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firstLine="420" w:firstLineChars="200"/>
        <w:textAlignment w:val="auto"/>
        <w:rPr>
          <w:rFonts w:ascii="宋体" w:hAnsi="宋体" w:eastAsia="宋体" w:cs="宋体"/>
          <w:color w:val="auto"/>
          <w:sz w:val="21"/>
          <w:szCs w:val="21"/>
          <w:u w:val="single"/>
        </w:rPr>
      </w:pPr>
      <w:r>
        <w:rPr>
          <w:rFonts w:hint="eastAsia" w:ascii="宋体" w:hAnsi="宋体" w:eastAsia="宋体" w:cs="宋体"/>
          <w:color w:val="auto"/>
          <w:sz w:val="21"/>
          <w:szCs w:val="21"/>
        </w:rPr>
        <w:t>发包人支付进度款的期限：</w:t>
      </w:r>
      <w:r>
        <w:rPr>
          <w:rFonts w:hint="eastAsia" w:ascii="宋体" w:hAnsi="宋体" w:eastAsia="宋体" w:cs="宋体"/>
          <w:color w:val="auto"/>
          <w:sz w:val="21"/>
          <w:szCs w:val="21"/>
          <w:u w:val="single"/>
        </w:rPr>
        <w:t>在发包人确认计量结果后14天内完成支付。</w:t>
      </w:r>
    </w:p>
    <w:p w14:paraId="04292EA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发包人逾期支付进度款的违约金的计算方式：</w:t>
      </w:r>
      <w:r>
        <w:rPr>
          <w:rFonts w:hint="eastAsia" w:ascii="宋体" w:hAnsi="宋体" w:eastAsia="宋体" w:cs="宋体"/>
          <w:color w:val="auto"/>
          <w:sz w:val="21"/>
          <w:szCs w:val="21"/>
          <w:u w:val="single"/>
        </w:rPr>
        <w:t>支付应付工程进度款的利息，利率按同期全国银行间同业拆借中心公布的贷款市场报价利率，时间为从约定应付之日起至支付之日止计算利息</w:t>
      </w:r>
      <w:r>
        <w:rPr>
          <w:rFonts w:hint="eastAsia" w:ascii="宋体" w:hAnsi="宋体" w:eastAsia="宋体" w:cs="宋体"/>
          <w:color w:val="auto"/>
          <w:sz w:val="21"/>
          <w:szCs w:val="21"/>
        </w:rPr>
        <w:t>。</w:t>
      </w:r>
    </w:p>
    <w:p w14:paraId="0016EA9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67234D1A">
      <w:pPr>
        <w:spacing w:line="38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12.4.6支付分解表的编制</w:t>
      </w:r>
    </w:p>
    <w:p w14:paraId="384EF28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2、总价合同支付分解表的编制与审批：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745B880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3、单价合同的总价项目支付分解表的编制与审批：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FA93B4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12.5 支付帐户</w:t>
      </w:r>
    </w:p>
    <w:p w14:paraId="52C73BE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发包人将当期应付工程进度款的(20)% 拨付到承包人的农民工工资专用账</w:t>
      </w:r>
      <w:r>
        <w:rPr>
          <w:rFonts w:hint="eastAsia" w:ascii="宋体" w:hAnsi="宋体" w:eastAsia="宋体" w:cs="宋体"/>
          <w:color w:val="auto"/>
          <w:sz w:val="21"/>
          <w:szCs w:val="21"/>
        </w:rPr>
        <w:t>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其余合同价款支付至合同协议书中约定的承包人帐户。</w:t>
      </w:r>
    </w:p>
    <w:p w14:paraId="2315449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如承包人因经营需要将工程款支付至其他指定帐户时，应向发包人书面申请，并由承包人法定代表人或授权代表签字、盖章。</w:t>
      </w:r>
    </w:p>
    <w:bookmarkEnd w:id="277"/>
    <w:p w14:paraId="705275D5">
      <w:pPr>
        <w:pStyle w:val="7"/>
        <w:keepNext w:val="0"/>
        <w:keepLines w:val="0"/>
        <w:spacing w:before="0" w:after="0" w:line="380" w:lineRule="exact"/>
        <w:rPr>
          <w:rFonts w:ascii="宋体" w:hAnsi="宋体" w:cs="宋体"/>
          <w:b w:val="0"/>
          <w:color w:val="auto"/>
          <w:sz w:val="21"/>
          <w:szCs w:val="21"/>
        </w:rPr>
      </w:pPr>
      <w:bookmarkStart w:id="448" w:name="_Toc351203645"/>
      <w:bookmarkStart w:id="449" w:name="_Toc297120519"/>
      <w:bookmarkStart w:id="450" w:name="_Toc300935015"/>
      <w:bookmarkStart w:id="451" w:name="_Toc292559424"/>
      <w:bookmarkStart w:id="452" w:name="_Toc312678053"/>
      <w:bookmarkStart w:id="453" w:name="_Toc297216223"/>
      <w:bookmarkStart w:id="454" w:name="_Toc296891047"/>
      <w:bookmarkStart w:id="455" w:name="_Toc292559929"/>
      <w:bookmarkStart w:id="456" w:name="_Toc296891259"/>
      <w:bookmarkStart w:id="457" w:name="_Toc296347218"/>
      <w:bookmarkStart w:id="458" w:name="_Toc304295593"/>
      <w:bookmarkStart w:id="459" w:name="_Toc296346720"/>
      <w:bookmarkStart w:id="460" w:name="_Toc296944558"/>
      <w:bookmarkStart w:id="461" w:name="_Toc303539172"/>
      <w:bookmarkStart w:id="462" w:name="_Toc296503219"/>
      <w:bookmarkStart w:id="463" w:name="_Toc297048405"/>
      <w:bookmarkStart w:id="464" w:name="_Toc297123564"/>
      <w:r>
        <w:rPr>
          <w:rFonts w:hint="eastAsia" w:ascii="宋体" w:hAnsi="宋体" w:cs="宋体"/>
          <w:b w:val="0"/>
          <w:color w:val="auto"/>
          <w:sz w:val="21"/>
          <w:szCs w:val="21"/>
        </w:rPr>
        <w:t>13．验收和工程试车</w:t>
      </w:r>
      <w:bookmarkEnd w:id="448"/>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383BD38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13.1 分部分项工程验收</w:t>
      </w:r>
    </w:p>
    <w:p w14:paraId="306E6FC1">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13.1.2监理人不能按时进行验收时，应提前</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小时提交书面延期要求。</w:t>
      </w:r>
    </w:p>
    <w:p w14:paraId="4110A3A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w:t>
      </w:r>
    </w:p>
    <w:p w14:paraId="1986BFCF">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工程验收过程、验收部位除办理纸质验收记录，还应留置验收部位、验收过程、主要验收人员相片、影像等资料。</w:t>
      </w:r>
    </w:p>
    <w:p w14:paraId="77A579F7">
      <w:pPr>
        <w:spacing w:line="380" w:lineRule="exact"/>
        <w:ind w:firstLine="420" w:firstLineChars="200"/>
        <w:rPr>
          <w:rFonts w:ascii="宋体" w:hAnsi="宋体" w:eastAsia="宋体" w:cs="宋体"/>
          <w:color w:val="auto"/>
          <w:sz w:val="21"/>
          <w:szCs w:val="21"/>
        </w:rPr>
      </w:pPr>
      <w:bookmarkStart w:id="465" w:name="_Toc303539173"/>
      <w:bookmarkStart w:id="466" w:name="_Toc296891051"/>
      <w:bookmarkStart w:id="467" w:name="_Toc292559933"/>
      <w:bookmarkStart w:id="468" w:name="_Toc300935016"/>
      <w:bookmarkStart w:id="469" w:name="_Toc296944562"/>
      <w:bookmarkStart w:id="470" w:name="_Toc304295596"/>
      <w:bookmarkStart w:id="471" w:name="_Toc296347222"/>
      <w:bookmarkStart w:id="472" w:name="_Toc292559428"/>
      <w:bookmarkStart w:id="473" w:name="_Toc297216224"/>
      <w:bookmarkStart w:id="474" w:name="_Toc296346724"/>
      <w:bookmarkStart w:id="475" w:name="_Toc297120523"/>
      <w:bookmarkStart w:id="476" w:name="_Toc297048409"/>
      <w:bookmarkStart w:id="477" w:name="_Toc296891263"/>
      <w:bookmarkStart w:id="478" w:name="_Toc312678056"/>
      <w:bookmarkStart w:id="479" w:name="_Toc297123565"/>
      <w:bookmarkStart w:id="480" w:name="_Toc296503223"/>
      <w:bookmarkStart w:id="481" w:name="_Toc267251471"/>
      <w:bookmarkStart w:id="482" w:name="_Toc267251475"/>
      <w:bookmarkStart w:id="483" w:name="_Toc267251473"/>
      <w:bookmarkStart w:id="484" w:name="_Toc267251474"/>
      <w:bookmarkStart w:id="485" w:name="_Toc267251476"/>
      <w:bookmarkStart w:id="486" w:name="_Toc267251470"/>
      <w:bookmarkStart w:id="487" w:name="_Toc267251472"/>
      <w:r>
        <w:rPr>
          <w:rFonts w:hint="eastAsia" w:ascii="宋体" w:hAnsi="宋体" w:eastAsia="宋体" w:cs="宋体"/>
          <w:color w:val="auto"/>
          <w:sz w:val="21"/>
          <w:szCs w:val="21"/>
        </w:rPr>
        <w:t>13.2 竣工验收</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43C0D089">
      <w:pPr>
        <w:spacing w:line="380" w:lineRule="exact"/>
        <w:ind w:firstLine="420" w:firstLineChars="200"/>
        <w:rPr>
          <w:rFonts w:ascii="宋体" w:hAnsi="宋体" w:eastAsia="宋体" w:cs="宋体"/>
          <w:color w:val="auto"/>
          <w:sz w:val="21"/>
          <w:szCs w:val="21"/>
        </w:rPr>
      </w:pPr>
      <w:bookmarkStart w:id="488" w:name="_Toc280868704"/>
      <w:bookmarkStart w:id="489" w:name="_Toc280868705"/>
      <w:bookmarkStart w:id="490" w:name="_Toc280868706"/>
      <w:bookmarkStart w:id="491" w:name="_Toc280868707"/>
      <w:bookmarkStart w:id="492" w:name="_Toc280868708"/>
      <w:bookmarkStart w:id="493" w:name="_Toc280868709"/>
      <w:r>
        <w:rPr>
          <w:rFonts w:hint="eastAsia" w:ascii="宋体" w:hAnsi="宋体" w:eastAsia="宋体" w:cs="宋体"/>
          <w:color w:val="auto"/>
          <w:sz w:val="21"/>
          <w:szCs w:val="21"/>
        </w:rPr>
        <w:t>13.2.2竣工验收程序</w:t>
      </w:r>
    </w:p>
    <w:bookmarkEnd w:id="488"/>
    <w:p w14:paraId="6FAE5132">
      <w:pPr>
        <w:spacing w:line="380" w:lineRule="exact"/>
        <w:ind w:left="3" w:firstLine="451" w:firstLineChars="215"/>
        <w:rPr>
          <w:rFonts w:ascii="宋体" w:hAnsi="宋体" w:eastAsia="宋体" w:cs="宋体"/>
          <w:color w:val="auto"/>
          <w:sz w:val="21"/>
          <w:szCs w:val="21"/>
        </w:rPr>
      </w:pPr>
      <w:r>
        <w:rPr>
          <w:rFonts w:hint="eastAsia" w:ascii="宋体" w:hAnsi="宋体" w:eastAsia="宋体" w:cs="宋体"/>
          <w:color w:val="auto"/>
          <w:kern w:val="0"/>
          <w:sz w:val="21"/>
          <w:szCs w:val="21"/>
        </w:rPr>
        <w:t>关于竣工验收程序的约定：</w:t>
      </w:r>
      <w:r>
        <w:rPr>
          <w:rFonts w:hint="eastAsia" w:ascii="宋体" w:hAnsi="宋体" w:eastAsia="宋体" w:cs="宋体"/>
          <w:color w:val="auto"/>
          <w:sz w:val="21"/>
          <w:szCs w:val="21"/>
          <w:u w:val="single"/>
        </w:rPr>
        <w:t>竣工验收程序</w:t>
      </w:r>
      <w:r>
        <w:rPr>
          <w:rFonts w:hint="eastAsia" w:ascii="宋体" w:hAnsi="宋体" w:eastAsia="宋体" w:cs="宋体"/>
          <w:color w:val="auto"/>
          <w:sz w:val="21"/>
          <w:szCs w:val="21"/>
          <w:u w:val="single"/>
          <w:lang w:eastAsia="zh-CN"/>
        </w:rPr>
        <w:t>按合同通用条款</w:t>
      </w:r>
      <w:r>
        <w:rPr>
          <w:rFonts w:hint="eastAsia" w:ascii="宋体" w:hAnsi="宋体" w:eastAsia="宋体" w:cs="宋体"/>
          <w:color w:val="auto"/>
          <w:sz w:val="21"/>
          <w:szCs w:val="21"/>
          <w:u w:val="single"/>
        </w:rPr>
        <w:t>。</w:t>
      </w:r>
    </w:p>
    <w:p w14:paraId="57A40CB1">
      <w:pPr>
        <w:spacing w:line="380" w:lineRule="exact"/>
        <w:ind w:left="3" w:firstLine="451" w:firstLineChars="215"/>
        <w:rPr>
          <w:rFonts w:ascii="宋体" w:hAnsi="宋体" w:eastAsia="宋体" w:cs="宋体"/>
          <w:color w:val="auto"/>
          <w:sz w:val="21"/>
          <w:szCs w:val="21"/>
        </w:rPr>
      </w:pPr>
      <w:r>
        <w:rPr>
          <w:rFonts w:hint="eastAsia" w:ascii="宋体" w:hAnsi="宋体" w:eastAsia="宋体" w:cs="宋体"/>
          <w:color w:val="auto"/>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承包人须配合发包人进行工程竣工验收。</w:t>
      </w:r>
    </w:p>
    <w:p w14:paraId="4A923040">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发包人不按照本项约定组织竣工验收、颁发工程接收证书的违约金的计算方法：</w:t>
      </w:r>
      <w:r>
        <w:rPr>
          <w:rFonts w:hint="eastAsia" w:ascii="宋体" w:hAnsi="宋体" w:eastAsia="宋体" w:cs="宋体"/>
          <w:color w:val="auto"/>
          <w:sz w:val="21"/>
          <w:szCs w:val="21"/>
          <w:u w:val="single"/>
        </w:rPr>
        <w:t>不计违约金。</w:t>
      </w:r>
    </w:p>
    <w:p w14:paraId="49F2EBC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u w:val="single"/>
        </w:rPr>
        <w:t>因发包人原因，未在监理人接收到承包人提交的</w:t>
      </w:r>
      <w:r>
        <w:rPr>
          <w:rFonts w:hint="eastAsia" w:ascii="宋体" w:hAnsi="宋体" w:eastAsia="宋体" w:cs="宋体"/>
          <w:color w:val="auto"/>
          <w:sz w:val="21"/>
          <w:szCs w:val="21"/>
          <w:u w:val="single"/>
          <w:lang w:eastAsia="zh-CN"/>
        </w:rPr>
        <w:t>竣工</w:t>
      </w:r>
      <w:r>
        <w:rPr>
          <w:rFonts w:hint="eastAsia" w:ascii="宋体" w:hAnsi="宋体" w:eastAsia="宋体" w:cs="宋体"/>
          <w:color w:val="auto"/>
          <w:sz w:val="21"/>
          <w:szCs w:val="21"/>
          <w:u w:val="single"/>
        </w:rPr>
        <w:t>验收申请报告42天内完成验收，或完成验收不予签发工程接收证书的，以提交</w:t>
      </w:r>
      <w:r>
        <w:rPr>
          <w:rFonts w:hint="eastAsia" w:ascii="宋体" w:hAnsi="宋体" w:eastAsia="宋体" w:cs="宋体"/>
          <w:color w:val="auto"/>
          <w:sz w:val="21"/>
          <w:szCs w:val="21"/>
          <w:u w:val="single"/>
          <w:lang w:eastAsia="zh-CN"/>
        </w:rPr>
        <w:t>竣工</w:t>
      </w:r>
      <w:r>
        <w:rPr>
          <w:rFonts w:hint="eastAsia" w:ascii="宋体" w:hAnsi="宋体" w:eastAsia="宋体" w:cs="宋体"/>
          <w:color w:val="auto"/>
          <w:sz w:val="21"/>
          <w:szCs w:val="21"/>
          <w:u w:val="single"/>
        </w:rPr>
        <w:t>验收申请报告的日期为实际竣工日期</w:t>
      </w:r>
      <w:r>
        <w:rPr>
          <w:rFonts w:hint="eastAsia" w:ascii="宋体" w:hAnsi="宋体" w:eastAsia="宋体" w:cs="宋体"/>
          <w:color w:val="auto"/>
          <w:sz w:val="21"/>
          <w:szCs w:val="21"/>
        </w:rPr>
        <w:t>。</w:t>
      </w:r>
    </w:p>
    <w:p w14:paraId="430FB8F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13.2.3竣工日期</w:t>
      </w:r>
    </w:p>
    <w:p w14:paraId="328C09E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（1）承包人完成合同范围内的全部工程以及有关工作，工程经验收合格的，以承包人提交验收申请报告之日为合同工期计算终止日。</w:t>
      </w:r>
    </w:p>
    <w:p w14:paraId="5BD55D48">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（2）其余</w:t>
      </w:r>
      <w:r>
        <w:rPr>
          <w:rFonts w:hint="eastAsia" w:ascii="宋体" w:hAnsi="宋体" w:eastAsia="宋体" w:cs="宋体"/>
          <w:color w:val="auto"/>
          <w:sz w:val="21"/>
          <w:szCs w:val="21"/>
          <w:lang w:eastAsia="zh-CN"/>
        </w:rPr>
        <w:t>按合同通用条款</w:t>
      </w:r>
      <w:r>
        <w:rPr>
          <w:rFonts w:hint="eastAsia" w:ascii="宋体" w:hAnsi="宋体" w:eastAsia="宋体" w:cs="宋体"/>
          <w:color w:val="auto"/>
          <w:sz w:val="21"/>
          <w:szCs w:val="21"/>
        </w:rPr>
        <w:t>。</w:t>
      </w:r>
    </w:p>
    <w:bookmarkEnd w:id="489"/>
    <w:p w14:paraId="7576E38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13.2.5移交、接收全部与部分工程</w:t>
      </w:r>
    </w:p>
    <w:bookmarkEnd w:id="490"/>
    <w:p w14:paraId="1E7E2A4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承包人向发包人移交工程的期限：</w:t>
      </w:r>
      <w:r>
        <w:rPr>
          <w:rFonts w:hint="eastAsia" w:ascii="宋体" w:hAnsi="宋体" w:eastAsia="宋体" w:cs="宋体"/>
          <w:color w:val="auto"/>
          <w:sz w:val="21"/>
          <w:szCs w:val="21"/>
          <w:u w:val="single"/>
        </w:rPr>
        <w:t xml:space="preserve">  按通用条款执行  </w:t>
      </w:r>
      <w:r>
        <w:rPr>
          <w:rFonts w:hint="eastAsia" w:ascii="宋体" w:hAnsi="宋体" w:eastAsia="宋体" w:cs="宋体"/>
          <w:color w:val="auto"/>
          <w:sz w:val="21"/>
          <w:szCs w:val="21"/>
        </w:rPr>
        <w:t>。</w:t>
      </w:r>
    </w:p>
    <w:p w14:paraId="66082F5A">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发包人未按本合同约定接收全部或部分工程的，违约金的计算方法为：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491"/>
    <w:p w14:paraId="7B81558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承包人未按时移交工程的，违约金的计算方法为：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157897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13.3 工程试车</w:t>
      </w:r>
    </w:p>
    <w:bookmarkEnd w:id="492"/>
    <w:p w14:paraId="339EA38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13.3.1试车程序</w:t>
      </w:r>
    </w:p>
    <w:p w14:paraId="5BED0FDD">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工程试车内容：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EEC2F02">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（1）单机无负荷试车费用由承担；</w:t>
      </w:r>
    </w:p>
    <w:p w14:paraId="6D55F504">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（2）无负荷联动试车费用由承担。</w:t>
      </w:r>
    </w:p>
    <w:p w14:paraId="5D6301F0">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13.3.3投料试车</w:t>
      </w:r>
    </w:p>
    <w:p w14:paraId="7C374315">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关于投料试车相关事项的约定：</w:t>
      </w:r>
      <w:r>
        <w:rPr>
          <w:rFonts w:hint="eastAsia" w:ascii="宋体" w:hAnsi="宋体" w:eastAsia="宋体" w:cs="宋体"/>
          <w:color w:val="auto"/>
          <w:sz w:val="21"/>
          <w:szCs w:val="21"/>
        </w:rPr>
        <w:t>。</w:t>
      </w:r>
    </w:p>
    <w:p w14:paraId="43601EF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13.6 竣工退场</w:t>
      </w:r>
    </w:p>
    <w:p w14:paraId="54599BD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13.6.1竣工退场</w:t>
      </w:r>
    </w:p>
    <w:p w14:paraId="36A5163F">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承包人完成竣工退场的期限：</w:t>
      </w:r>
      <w:r>
        <w:rPr>
          <w:rFonts w:hint="eastAsia" w:ascii="宋体" w:hAnsi="宋体" w:eastAsia="宋体" w:cs="宋体"/>
          <w:color w:val="auto"/>
          <w:sz w:val="21"/>
          <w:szCs w:val="21"/>
          <w:u w:val="single"/>
        </w:rPr>
        <w:t xml:space="preserve"> 颁发工程接收证书后7天内</w:t>
      </w:r>
      <w:r>
        <w:rPr>
          <w:rFonts w:hint="eastAsia" w:ascii="宋体" w:hAnsi="宋体" w:eastAsia="宋体" w:cs="宋体"/>
          <w:color w:val="auto"/>
          <w:kern w:val="0"/>
          <w:sz w:val="21"/>
          <w:szCs w:val="21"/>
        </w:rPr>
        <w:t>。</w:t>
      </w:r>
    </w:p>
    <w:p w14:paraId="594E9207">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13.6.2地表还原</w:t>
      </w:r>
    </w:p>
    <w:p w14:paraId="463038B3">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4111223B">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本工程场地恢复的要求：</w:t>
      </w:r>
    </w:p>
    <w:p w14:paraId="56B6F89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（1）清理完成施工现场垃圾，临建的拆除与场地复原；</w:t>
      </w:r>
    </w:p>
    <w:p w14:paraId="1CEDE272">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（2）施工后废弃材料、设备清理撤离；</w:t>
      </w:r>
    </w:p>
    <w:p w14:paraId="2DF1DA54">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（3）承包人造成的施工现场周边施工堆积物及场地清理。</w:t>
      </w:r>
    </w:p>
    <w:p w14:paraId="1FA1B17A">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（4）其它要求：</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C883163">
      <w:pPr>
        <w:pStyle w:val="7"/>
        <w:keepNext w:val="0"/>
        <w:keepLines w:val="0"/>
        <w:spacing w:before="0" w:after="0" w:line="380" w:lineRule="exact"/>
        <w:rPr>
          <w:rFonts w:ascii="宋体" w:hAnsi="宋体" w:cs="宋体"/>
          <w:b w:val="0"/>
          <w:color w:val="auto"/>
          <w:sz w:val="21"/>
          <w:szCs w:val="21"/>
        </w:rPr>
      </w:pPr>
      <w:bookmarkStart w:id="494" w:name="_Toc351203646"/>
      <w:r>
        <w:rPr>
          <w:rFonts w:hint="eastAsia" w:ascii="宋体" w:hAnsi="宋体" w:cs="宋体"/>
          <w:b w:val="0"/>
          <w:color w:val="auto"/>
          <w:sz w:val="21"/>
          <w:szCs w:val="21"/>
        </w:rPr>
        <w:t>14．竣工结算</w:t>
      </w:r>
      <w:bookmarkEnd w:id="494"/>
    </w:p>
    <w:p w14:paraId="78EBB2A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14.1 竣工结算申请</w:t>
      </w:r>
    </w:p>
    <w:p w14:paraId="0DBCD1B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1.承包人提交竣工结算申请的期限：</w:t>
      </w:r>
    </w:p>
    <w:p w14:paraId="5D8D091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承包人完成合同范围内施工内容，参建各方对工程验收并签署工程质量合格文件后可在28天内，向发包人或监理人、发包人委托的中介机构提交最终工程结算申请，并提交完整的工程结算资料一套。</w:t>
      </w:r>
    </w:p>
    <w:p w14:paraId="35B8B25A">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40431E1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2.竣工结算申请单应包括的内容：</w:t>
      </w:r>
      <w:r>
        <w:rPr>
          <w:rFonts w:hint="eastAsia" w:ascii="宋体" w:hAnsi="宋体" w:eastAsia="宋体" w:cs="宋体"/>
          <w:color w:val="auto"/>
          <w:sz w:val="21"/>
          <w:szCs w:val="21"/>
          <w:u w:val="single"/>
        </w:rPr>
        <w:t>包括但不限于施工合同、补充协议、招标文件、投标文件、竣工图纸、施工方案以及经确认的工程变更、工程索赔、现场签证，相关施工记录，工程款收款证明、逾期付款利息计算书等相关资料。</w:t>
      </w:r>
    </w:p>
    <w:p w14:paraId="363D9EC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14.2 竣工结算审核</w:t>
      </w:r>
    </w:p>
    <w:p w14:paraId="638AF9C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（1）发包人结算审核时间：</w:t>
      </w:r>
    </w:p>
    <w:p w14:paraId="5DD76312">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发包人收到承包人递交的最终工程结算报告及结算资料后，在（180）天内审核完毕，并签发最终工程结算证书（</w:t>
      </w:r>
      <w:r>
        <w:rPr>
          <w:rFonts w:hint="eastAsia" w:ascii="宋体" w:hAnsi="宋体" w:eastAsia="宋体" w:cs="宋体"/>
          <w:color w:val="auto"/>
          <w:kern w:val="0"/>
          <w:sz w:val="21"/>
          <w:szCs w:val="21"/>
          <w:u w:val="single"/>
        </w:rPr>
        <w:t>注：</w:t>
      </w:r>
      <w:r>
        <w:rPr>
          <w:rFonts w:hint="eastAsia" w:ascii="宋体" w:hAnsi="宋体" w:eastAsia="宋体" w:cs="宋体"/>
          <w:color w:val="auto"/>
          <w:sz w:val="21"/>
          <w:szCs w:val="21"/>
          <w:u w:val="single"/>
        </w:rPr>
        <w:t>政府性投资工程项目，在确定审核时间时应将相关部门监管复核时间计入）。</w:t>
      </w:r>
    </w:p>
    <w:p w14:paraId="61BA4A86">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445D37D9">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6F10390C">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2335E17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14.4 最终结清</w:t>
      </w:r>
    </w:p>
    <w:p w14:paraId="7E4F22B2">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14.4.1最终结清申请单</w:t>
      </w:r>
    </w:p>
    <w:p w14:paraId="3F09C14E">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承包人提交最终结清申请单的份数：</w:t>
      </w:r>
      <w:r>
        <w:rPr>
          <w:rFonts w:hint="eastAsia" w:ascii="宋体" w:hAnsi="宋体" w:eastAsia="宋体" w:cs="宋体"/>
          <w:color w:val="auto"/>
          <w:sz w:val="21"/>
          <w:szCs w:val="21"/>
          <w:u w:val="single"/>
        </w:rPr>
        <w:t xml:space="preserve">  2份  </w:t>
      </w:r>
      <w:r>
        <w:rPr>
          <w:rFonts w:hint="eastAsia" w:ascii="宋体" w:hAnsi="宋体" w:eastAsia="宋体" w:cs="宋体"/>
          <w:color w:val="auto"/>
          <w:sz w:val="21"/>
          <w:szCs w:val="21"/>
        </w:rPr>
        <w:t>。</w:t>
      </w:r>
    </w:p>
    <w:p w14:paraId="0712FD43">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承包人提交最终结算申请单的期限：</w:t>
      </w:r>
      <w:r>
        <w:rPr>
          <w:rFonts w:hint="eastAsia" w:ascii="宋体" w:hAnsi="宋体" w:eastAsia="宋体" w:cs="宋体"/>
          <w:color w:val="auto"/>
          <w:sz w:val="21"/>
          <w:szCs w:val="21"/>
          <w:u w:val="single"/>
        </w:rPr>
        <w:t xml:space="preserve"> 缺陷责任期终止后7天内 </w:t>
      </w:r>
      <w:r>
        <w:rPr>
          <w:rFonts w:hint="eastAsia" w:ascii="宋体" w:hAnsi="宋体" w:eastAsia="宋体" w:cs="宋体"/>
          <w:color w:val="auto"/>
          <w:sz w:val="21"/>
          <w:szCs w:val="21"/>
        </w:rPr>
        <w:t xml:space="preserve">。 </w:t>
      </w:r>
    </w:p>
    <w:p w14:paraId="14FAB5E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14.4.2最终结清证书和支付</w:t>
      </w:r>
    </w:p>
    <w:p w14:paraId="336DB6A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按通用条款</w:t>
      </w:r>
      <w:r>
        <w:rPr>
          <w:rFonts w:hint="eastAsia" w:ascii="宋体" w:hAnsi="宋体" w:eastAsia="宋体" w:cs="宋体"/>
          <w:color w:val="auto"/>
          <w:sz w:val="21"/>
          <w:szCs w:val="21"/>
        </w:rPr>
        <w:t>。</w:t>
      </w:r>
    </w:p>
    <w:p w14:paraId="3B064C0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按通用条款</w:t>
      </w:r>
      <w:r>
        <w:rPr>
          <w:rFonts w:hint="eastAsia" w:ascii="宋体" w:hAnsi="宋体" w:eastAsia="宋体" w:cs="宋体"/>
          <w:color w:val="auto"/>
          <w:sz w:val="21"/>
          <w:szCs w:val="21"/>
        </w:rPr>
        <w:t>。</w:t>
      </w:r>
    </w:p>
    <w:bookmarkEnd w:id="481"/>
    <w:bookmarkEnd w:id="482"/>
    <w:bookmarkEnd w:id="483"/>
    <w:bookmarkEnd w:id="484"/>
    <w:bookmarkEnd w:id="485"/>
    <w:bookmarkEnd w:id="486"/>
    <w:bookmarkEnd w:id="487"/>
    <w:bookmarkEnd w:id="493"/>
    <w:p w14:paraId="2F86F22A">
      <w:pPr>
        <w:pStyle w:val="7"/>
        <w:keepNext w:val="0"/>
        <w:keepLines w:val="0"/>
        <w:spacing w:before="0" w:after="0" w:line="380" w:lineRule="exact"/>
        <w:rPr>
          <w:rFonts w:ascii="宋体" w:hAnsi="宋体" w:cs="宋体"/>
          <w:b w:val="0"/>
          <w:color w:val="auto"/>
          <w:sz w:val="21"/>
          <w:szCs w:val="21"/>
        </w:rPr>
      </w:pPr>
      <w:bookmarkStart w:id="495" w:name="_Toc351203647"/>
      <w:bookmarkStart w:id="496" w:name="_Toc267251483"/>
      <w:bookmarkStart w:id="497" w:name="_Toc267251484"/>
      <w:bookmarkStart w:id="498" w:name="_Toc267251482"/>
      <w:bookmarkStart w:id="499" w:name="_Toc267251485"/>
      <w:bookmarkStart w:id="500" w:name="_Toc267251486"/>
      <w:bookmarkStart w:id="501" w:name="_Toc267251488"/>
      <w:bookmarkStart w:id="502" w:name="_Toc267251490"/>
      <w:bookmarkStart w:id="503" w:name="_Toc267251489"/>
      <w:bookmarkStart w:id="504" w:name="_Toc267251493"/>
      <w:bookmarkStart w:id="505" w:name="_Toc267251501"/>
      <w:bookmarkStart w:id="506" w:name="_Toc267251494"/>
      <w:bookmarkStart w:id="507" w:name="_Toc267251497"/>
      <w:bookmarkStart w:id="508" w:name="_Toc267251496"/>
      <w:bookmarkStart w:id="509" w:name="_Toc267251491"/>
      <w:bookmarkStart w:id="510" w:name="_Toc267251503"/>
      <w:bookmarkStart w:id="511" w:name="_Toc267251498"/>
      <w:bookmarkStart w:id="512" w:name="_Toc267251499"/>
      <w:bookmarkStart w:id="513" w:name="_Toc267251502"/>
      <w:bookmarkStart w:id="514" w:name="_Toc267251495"/>
      <w:bookmarkStart w:id="515" w:name="_Toc267251492"/>
      <w:bookmarkStart w:id="516" w:name="_Toc267251504"/>
      <w:bookmarkStart w:id="517" w:name="_Toc267251506"/>
      <w:bookmarkStart w:id="518" w:name="_Toc267251507"/>
      <w:bookmarkStart w:id="519" w:name="_Toc267251508"/>
      <w:bookmarkStart w:id="520" w:name="_Toc267251509"/>
      <w:bookmarkStart w:id="521" w:name="_Toc267251511"/>
      <w:bookmarkStart w:id="522" w:name="_Toc267251510"/>
      <w:bookmarkStart w:id="523" w:name="_Toc267251514"/>
      <w:bookmarkStart w:id="524" w:name="_Toc267251515"/>
      <w:bookmarkStart w:id="525" w:name="_Toc267251513"/>
      <w:r>
        <w:rPr>
          <w:rFonts w:hint="eastAsia" w:ascii="宋体" w:hAnsi="宋体" w:cs="宋体"/>
          <w:b w:val="0"/>
          <w:color w:val="auto"/>
          <w:sz w:val="21"/>
          <w:szCs w:val="21"/>
        </w:rPr>
        <w:t>15．缺陷责任期与保修</w:t>
      </w:r>
      <w:bookmarkEnd w:id="495"/>
    </w:p>
    <w:p w14:paraId="590366B0">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15.2缺陷责任期</w:t>
      </w:r>
      <w:bookmarkEnd w:id="496"/>
    </w:p>
    <w:p w14:paraId="6ED68DD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缺陷责任期</w:t>
      </w:r>
      <w:r>
        <w:rPr>
          <w:rFonts w:hint="eastAsia" w:ascii="宋体" w:hAnsi="宋体" w:eastAsia="宋体" w:cs="宋体"/>
          <w:color w:val="auto"/>
          <w:sz w:val="21"/>
          <w:szCs w:val="21"/>
          <w:u w:val="single"/>
          <w:lang w:val="en-US" w:eastAsia="zh-CN"/>
        </w:rPr>
        <w:t>24</w:t>
      </w:r>
      <w:r>
        <w:rPr>
          <w:rFonts w:hint="eastAsia" w:ascii="宋体" w:hAnsi="宋体" w:eastAsia="宋体" w:cs="宋体"/>
          <w:color w:val="auto"/>
          <w:sz w:val="21"/>
          <w:szCs w:val="21"/>
          <w:u w:val="single"/>
        </w:rPr>
        <w:t>个月，其余按通用条款执行</w:t>
      </w:r>
      <w:r>
        <w:rPr>
          <w:rFonts w:hint="eastAsia" w:ascii="宋体" w:hAnsi="宋体" w:eastAsia="宋体" w:cs="宋体"/>
          <w:color w:val="auto"/>
          <w:sz w:val="21"/>
          <w:szCs w:val="21"/>
        </w:rPr>
        <w:t>。</w:t>
      </w:r>
    </w:p>
    <w:p w14:paraId="69A59B4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15.3 质量保证金</w:t>
      </w:r>
    </w:p>
    <w:p w14:paraId="7D2D86C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 xml:space="preserve"> 留置质量保证金 </w:t>
      </w:r>
      <w:r>
        <w:rPr>
          <w:rFonts w:hint="eastAsia" w:ascii="宋体" w:hAnsi="宋体" w:eastAsia="宋体" w:cs="宋体"/>
          <w:color w:val="auto"/>
          <w:sz w:val="21"/>
          <w:szCs w:val="21"/>
        </w:rPr>
        <w:t>。</w:t>
      </w:r>
    </w:p>
    <w:p w14:paraId="4D7BB8A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15.3.1承包人提供质量保证金的方式</w:t>
      </w:r>
    </w:p>
    <w:p w14:paraId="0CDEC16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质量保证金采用以下第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种方式：</w:t>
      </w:r>
    </w:p>
    <w:p w14:paraId="42E6FDBF">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（1）质量保证金保函，</w:t>
      </w:r>
      <w:r>
        <w:rPr>
          <w:rFonts w:hint="eastAsia" w:ascii="宋体" w:hAnsi="宋体" w:eastAsia="宋体" w:cs="宋体"/>
          <w:color w:val="auto"/>
          <w:sz w:val="21"/>
          <w:szCs w:val="21"/>
        </w:rPr>
        <w:t>保函形式为银行保函〔保险保函〕，</w:t>
      </w:r>
      <w:r>
        <w:rPr>
          <w:rFonts w:hint="eastAsia" w:ascii="宋体" w:hAnsi="宋体" w:eastAsia="宋体" w:cs="宋体"/>
          <w:color w:val="auto"/>
          <w:kern w:val="0"/>
          <w:sz w:val="21"/>
          <w:szCs w:val="21"/>
        </w:rPr>
        <w:t xml:space="preserve">金额为1.5 %的工程结算价款； </w:t>
      </w:r>
    </w:p>
    <w:p w14:paraId="57E66419">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u w:val="single"/>
        </w:rPr>
        <w:t xml:space="preserve"> 1.5 %</w:t>
      </w:r>
      <w:r>
        <w:rPr>
          <w:rFonts w:hint="eastAsia" w:ascii="宋体" w:hAnsi="宋体" w:eastAsia="宋体" w:cs="宋体"/>
          <w:color w:val="auto"/>
          <w:kern w:val="0"/>
          <w:sz w:val="21"/>
          <w:szCs w:val="21"/>
        </w:rPr>
        <w:t>的工程结算价款；</w:t>
      </w:r>
    </w:p>
    <w:p w14:paraId="050C8E56">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（3）其他方式:。</w:t>
      </w:r>
    </w:p>
    <w:p w14:paraId="1486720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15.3.2质量保证金的扣留 </w:t>
      </w:r>
    </w:p>
    <w:p w14:paraId="0A5D40BA">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质量保证金的扣留采取以下第</w:t>
      </w:r>
      <w:r>
        <w:rPr>
          <w:rFonts w:hint="eastAsia" w:ascii="宋体" w:hAnsi="宋体" w:eastAsia="宋体" w:cs="宋体"/>
          <w:color w:val="auto"/>
          <w:sz w:val="21"/>
          <w:szCs w:val="21"/>
          <w:u w:val="single"/>
        </w:rPr>
        <w:t xml:space="preserve">  3  </w:t>
      </w:r>
      <w:r>
        <w:rPr>
          <w:rFonts w:hint="eastAsia" w:ascii="宋体" w:hAnsi="宋体" w:eastAsia="宋体" w:cs="宋体"/>
          <w:color w:val="auto"/>
          <w:sz w:val="21"/>
          <w:szCs w:val="21"/>
        </w:rPr>
        <w:t>种方式：</w:t>
      </w:r>
    </w:p>
    <w:p w14:paraId="05D19DCC">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（1）在支付工程进度款时逐次扣留，在此情形下，质量保证金的计算基数不包括预付款的支付、扣回以及价格调整的金额；</w:t>
      </w:r>
    </w:p>
    <w:p w14:paraId="20062E65">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（2）工程竣工结算时一次性扣留质量保证金；</w:t>
      </w:r>
    </w:p>
    <w:p w14:paraId="40035063">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（3）其他扣留方式:</w:t>
      </w:r>
      <w:r>
        <w:rPr>
          <w:rFonts w:hint="eastAsia" w:ascii="宋体" w:hAnsi="宋体" w:eastAsia="宋体" w:cs="宋体"/>
          <w:color w:val="auto"/>
          <w:kern w:val="0"/>
          <w:sz w:val="21"/>
          <w:szCs w:val="21"/>
          <w:u w:val="single"/>
        </w:rPr>
        <w:t xml:space="preserve"> 发包人支付完成最后工程结算付款前，承包人提供质量保证金保函 </w:t>
      </w:r>
      <w:r>
        <w:rPr>
          <w:rFonts w:hint="eastAsia" w:ascii="宋体" w:hAnsi="宋体" w:eastAsia="宋体" w:cs="宋体"/>
          <w:color w:val="auto"/>
          <w:kern w:val="0"/>
          <w:sz w:val="21"/>
          <w:szCs w:val="21"/>
        </w:rPr>
        <w:t>。</w:t>
      </w:r>
    </w:p>
    <w:p w14:paraId="7F65EB67">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kern w:val="0"/>
          <w:sz w:val="21"/>
          <w:szCs w:val="21"/>
          <w:u w:val="single"/>
        </w:rPr>
        <w:t xml:space="preserve">                             。</w:t>
      </w:r>
    </w:p>
    <w:p w14:paraId="42C5B0D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15.3.3质量保证金的退还</w:t>
      </w:r>
    </w:p>
    <w:p w14:paraId="6714C7A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质量保证金按以下第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方式退回：</w:t>
      </w:r>
    </w:p>
    <w:p w14:paraId="40390536">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（1）缺陷责任期终止后，发包人退还剩余的质量保证金。</w:t>
      </w:r>
    </w:p>
    <w:p w14:paraId="4D93FD11">
      <w:pPr>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（2）建筑工程：工程竣工验收合格后满1年返还质量保证金的30%，满2年返还全部预留的质量保证金。</w:t>
      </w:r>
    </w:p>
    <w:p w14:paraId="0A1B63E5">
      <w:pPr>
        <w:adjustRightInd w:val="0"/>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（3）市政工程：工程竣工验收合格后满1年返还全部质量保证金。</w:t>
      </w:r>
    </w:p>
    <w:p w14:paraId="64EE225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（4）其它：</w:t>
      </w:r>
      <w:r>
        <w:rPr>
          <w:rFonts w:hint="eastAsia" w:ascii="宋体" w:hAnsi="宋体" w:eastAsia="宋体" w:cs="宋体"/>
          <w:color w:val="auto"/>
          <w:sz w:val="21"/>
          <w:szCs w:val="21"/>
          <w:u w:val="single"/>
        </w:rPr>
        <w:t xml:space="preserve">                 </w:t>
      </w:r>
    </w:p>
    <w:bookmarkEnd w:id="497"/>
    <w:bookmarkEnd w:id="498"/>
    <w:p w14:paraId="521AFD5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15.4保修</w:t>
      </w:r>
    </w:p>
    <w:bookmarkEnd w:id="499"/>
    <w:p w14:paraId="419CF97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15.4.1保修责任</w:t>
      </w:r>
    </w:p>
    <w:p w14:paraId="573C7078">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kern w:val="0"/>
          <w:sz w:val="21"/>
          <w:szCs w:val="21"/>
          <w:u w:val="single"/>
        </w:rPr>
        <w:t xml:space="preserve"> 按本合同附件3《工程质量保修书》 </w:t>
      </w:r>
      <w:r>
        <w:rPr>
          <w:rFonts w:hint="eastAsia" w:ascii="宋体" w:hAnsi="宋体" w:eastAsia="宋体" w:cs="宋体"/>
          <w:color w:val="auto"/>
          <w:kern w:val="0"/>
          <w:sz w:val="21"/>
          <w:szCs w:val="21"/>
        </w:rPr>
        <w:t>。</w:t>
      </w:r>
    </w:p>
    <w:p w14:paraId="73BE341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15.4.3修复通知</w:t>
      </w:r>
    </w:p>
    <w:p w14:paraId="6FA64D6D">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承包人收到保修通知并到达工程现场的合理时间：</w:t>
      </w:r>
      <w:r>
        <w:rPr>
          <w:rFonts w:hint="eastAsia" w:ascii="宋体" w:hAnsi="宋体" w:eastAsia="宋体" w:cs="宋体"/>
          <w:color w:val="auto"/>
          <w:kern w:val="0"/>
          <w:sz w:val="21"/>
          <w:szCs w:val="21"/>
          <w:u w:val="single"/>
        </w:rPr>
        <w:t xml:space="preserve"> 按通用条款 </w:t>
      </w:r>
      <w:r>
        <w:rPr>
          <w:rFonts w:hint="eastAsia" w:ascii="宋体" w:hAnsi="宋体" w:eastAsia="宋体" w:cs="宋体"/>
          <w:color w:val="auto"/>
          <w:kern w:val="0"/>
          <w:sz w:val="21"/>
          <w:szCs w:val="21"/>
        </w:rPr>
        <w:t>。</w:t>
      </w:r>
    </w:p>
    <w:bookmarkEnd w:id="500"/>
    <w:bookmarkEnd w:id="501"/>
    <w:bookmarkEnd w:id="502"/>
    <w:bookmarkEnd w:id="503"/>
    <w:p w14:paraId="0618E66E">
      <w:pPr>
        <w:pStyle w:val="7"/>
        <w:keepNext w:val="0"/>
        <w:keepLines w:val="0"/>
        <w:spacing w:before="0" w:after="0" w:line="380" w:lineRule="exact"/>
        <w:rPr>
          <w:rFonts w:ascii="宋体" w:hAnsi="宋体" w:cs="宋体"/>
          <w:b w:val="0"/>
          <w:color w:val="auto"/>
          <w:sz w:val="21"/>
          <w:szCs w:val="21"/>
        </w:rPr>
      </w:pPr>
      <w:bookmarkStart w:id="526" w:name="_Toc351203648"/>
      <w:bookmarkStart w:id="527" w:name="_Toc280868717"/>
      <w:bookmarkStart w:id="528" w:name="_Toc280868718"/>
      <w:r>
        <w:rPr>
          <w:rFonts w:hint="eastAsia" w:ascii="宋体" w:hAnsi="宋体" w:cs="宋体"/>
          <w:b w:val="0"/>
          <w:color w:val="auto"/>
          <w:sz w:val="21"/>
          <w:szCs w:val="21"/>
        </w:rPr>
        <w:t>16．违约</w:t>
      </w:r>
      <w:bookmarkEnd w:id="526"/>
    </w:p>
    <w:p w14:paraId="7820B78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16.1 发包人违约</w:t>
      </w:r>
    </w:p>
    <w:p w14:paraId="419AFE8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75A5C2DF">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发包人违约的其他情形：</w:t>
      </w:r>
      <w:r>
        <w:rPr>
          <w:rFonts w:hint="eastAsia" w:ascii="宋体" w:hAnsi="宋体" w:eastAsia="宋体" w:cs="宋体"/>
          <w:color w:val="auto"/>
          <w:kern w:val="0"/>
          <w:sz w:val="21"/>
          <w:szCs w:val="21"/>
          <w:u w:val="single"/>
          <w:lang w:val="en-US" w:eastAsia="zh-CN"/>
        </w:rPr>
        <w:t xml:space="preserve">     /       </w:t>
      </w:r>
      <w:r>
        <w:rPr>
          <w:rFonts w:hint="eastAsia" w:ascii="宋体" w:hAnsi="宋体" w:eastAsia="宋体" w:cs="宋体"/>
          <w:color w:val="auto"/>
          <w:kern w:val="0"/>
          <w:sz w:val="21"/>
          <w:szCs w:val="21"/>
        </w:rPr>
        <w:t>。</w:t>
      </w:r>
    </w:p>
    <w:p w14:paraId="41948253">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16.1.2发包人违约的责任</w:t>
      </w:r>
    </w:p>
    <w:p w14:paraId="02985E68">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发包人违约责任的承担方式和计算方法：</w:t>
      </w:r>
    </w:p>
    <w:p w14:paraId="6FBCD3E2">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（1）因发包人原因未能在计划开工日期前7天内下达开工通知的违约责任：</w:t>
      </w:r>
      <w:r>
        <w:rPr>
          <w:rFonts w:hint="eastAsia" w:ascii="宋体" w:hAnsi="宋体" w:eastAsia="宋体" w:cs="宋体"/>
          <w:color w:val="auto"/>
          <w:kern w:val="0"/>
          <w:sz w:val="21"/>
          <w:szCs w:val="21"/>
          <w:u w:val="single"/>
        </w:rPr>
        <w:t>赔偿承包人相关损失；属于专用合同条款7.3.2条约定情形的，按该条款约定处理；</w:t>
      </w:r>
    </w:p>
    <w:p w14:paraId="1B199727">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（2）因发包人原因未能按合同约定支付合同价款的违约责任：</w:t>
      </w:r>
      <w:r>
        <w:rPr>
          <w:rFonts w:hint="eastAsia" w:ascii="宋体" w:hAnsi="宋体" w:eastAsia="宋体" w:cs="宋体"/>
          <w:color w:val="auto"/>
          <w:sz w:val="21"/>
          <w:szCs w:val="21"/>
          <w:u w:val="single"/>
        </w:rPr>
        <w:t>支付违约金，违约金为应付合同价款的利息；造成工期延误的顺延工期，并承担承包人的相应损失费用；</w:t>
      </w:r>
    </w:p>
    <w:p w14:paraId="58690EC3">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（3）发包人违反第10.1款〔变更的范围〕第（2）项约定，自行实施被取消的工作或转由他人实施的违约责任：</w:t>
      </w:r>
      <w:r>
        <w:rPr>
          <w:rFonts w:hint="eastAsia" w:ascii="宋体" w:hAnsi="宋体" w:eastAsia="宋体" w:cs="宋体"/>
          <w:color w:val="auto"/>
          <w:kern w:val="0"/>
          <w:sz w:val="21"/>
          <w:szCs w:val="21"/>
          <w:u w:val="single"/>
        </w:rPr>
        <w:t xml:space="preserve"> 支付承包人该项工作合理利润；</w:t>
      </w:r>
    </w:p>
    <w:p w14:paraId="71503EA4">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造成工期延误的顺延工期，并承担增加的造价及承包人的相应损失费用等；</w:t>
      </w:r>
    </w:p>
    <w:p w14:paraId="65496DDD">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（5）因发包人违反合同约定造成暂停施工的违约责任：</w:t>
      </w:r>
      <w:r>
        <w:rPr>
          <w:rFonts w:hint="eastAsia" w:ascii="宋体" w:hAnsi="宋体" w:eastAsia="宋体" w:cs="宋体"/>
          <w:color w:val="auto"/>
          <w:sz w:val="21"/>
          <w:szCs w:val="21"/>
          <w:u w:val="single"/>
        </w:rPr>
        <w:t>造成工期延误的顺延工期，并承担增加的造价及承包人的相应损失费用等。</w:t>
      </w:r>
    </w:p>
    <w:p w14:paraId="1A97BD5F">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造成工期延误的顺延工期，并承担增加的造价及承包人的相应损失费用等。</w:t>
      </w:r>
    </w:p>
    <w:p w14:paraId="2C5C7F4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（7）其他：</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57EBBB3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16.1.3因发包人违约解除合同</w:t>
      </w:r>
    </w:p>
    <w:p w14:paraId="7DEE20F6">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承包人按16.1.1项〔发包人违约的情形〕约定暂停施工满</w:t>
      </w:r>
      <w:r>
        <w:rPr>
          <w:rFonts w:hint="eastAsia" w:ascii="宋体" w:hAnsi="宋体" w:eastAsia="宋体" w:cs="宋体"/>
          <w:color w:val="auto"/>
          <w:kern w:val="0"/>
          <w:sz w:val="21"/>
          <w:szCs w:val="21"/>
          <w:u w:val="single"/>
        </w:rPr>
        <w:t>30</w:t>
      </w:r>
      <w:r>
        <w:rPr>
          <w:rFonts w:hint="eastAsia" w:ascii="宋体" w:hAnsi="宋体" w:eastAsia="宋体" w:cs="宋体"/>
          <w:color w:val="auto"/>
          <w:kern w:val="0"/>
          <w:sz w:val="21"/>
          <w:szCs w:val="21"/>
        </w:rPr>
        <w:t>天后发包人仍不纠正其违约行为并致使合同目的不能实现的，承包人有权解除合同。</w:t>
      </w:r>
    </w:p>
    <w:p w14:paraId="1120EDB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16.2 承包人违约</w:t>
      </w:r>
    </w:p>
    <w:p w14:paraId="68E5380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16.2.1承包人违约的情形</w:t>
      </w:r>
    </w:p>
    <w:p w14:paraId="791D5229">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承包人违约的其他情形：</w:t>
      </w:r>
    </w:p>
    <w:p w14:paraId="7264C64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（1）</w:t>
      </w:r>
      <w:r>
        <w:rPr>
          <w:rFonts w:hint="eastAsia" w:ascii="宋体" w:hAnsi="宋体" w:eastAsia="宋体" w:cs="宋体"/>
          <w:color w:val="auto"/>
          <w:sz w:val="21"/>
          <w:szCs w:val="21"/>
          <w:u w:val="single"/>
        </w:rPr>
        <w:t>机械设备、施工项目班子未按投标承诺及时到位；</w:t>
      </w:r>
    </w:p>
    <w:p w14:paraId="45E98D82">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本工程在实施过程中，承包人的施工队伍素质、施工力量、现场安全文明施工不符合投标书的承诺，造成现场管理混乱、工程质量和进度达不到投标所承诺的要求；</w:t>
      </w:r>
    </w:p>
    <w:p w14:paraId="2EFE862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承包人允许其他人挂靠经营、私自转包</w:t>
      </w:r>
      <w:r>
        <w:rPr>
          <w:rFonts w:hint="eastAsia" w:ascii="宋体" w:hAnsi="宋体" w:eastAsia="宋体" w:cs="宋体"/>
          <w:color w:val="auto"/>
          <w:kern w:val="0"/>
          <w:sz w:val="21"/>
          <w:szCs w:val="21"/>
        </w:rPr>
        <w:t>；</w:t>
      </w:r>
    </w:p>
    <w:p w14:paraId="09C892BA">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u w:val="single"/>
        </w:rPr>
        <w:t>承包人未达到投标时所承诺的诚信、技术标准及创优、创标化工程目标。</w:t>
      </w:r>
    </w:p>
    <w:p w14:paraId="301F5C4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16.2.2承包人违约的责任</w:t>
      </w:r>
    </w:p>
    <w:p w14:paraId="7E75E9C9">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承包人违约责任的承担方式和计算方法：</w:t>
      </w:r>
    </w:p>
    <w:p w14:paraId="417114E1">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u w:val="single"/>
        </w:rPr>
        <w:t>机械设备未按投标承诺到位，每项扣除履约担保金2%；</w:t>
      </w:r>
    </w:p>
    <w:p w14:paraId="1F55D80C">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u w:val="single"/>
        </w:rPr>
        <w:t>现场安全文明施工不符合投标书承诺，扣减相应安全文明施工费用；</w:t>
      </w:r>
      <w:r>
        <w:rPr>
          <w:rFonts w:hint="eastAsia" w:ascii="宋体" w:hAnsi="宋体" w:eastAsia="宋体" w:cs="宋体"/>
          <w:color w:val="auto"/>
          <w:kern w:val="0"/>
          <w:sz w:val="21"/>
          <w:szCs w:val="21"/>
          <w:u w:val="single"/>
        </w:rPr>
        <w:t>承包人原因造成现场管理混乱、</w:t>
      </w:r>
      <w:r>
        <w:rPr>
          <w:rFonts w:hint="eastAsia" w:ascii="宋体" w:hAnsi="宋体" w:eastAsia="宋体" w:cs="宋体"/>
          <w:color w:val="auto"/>
          <w:sz w:val="21"/>
          <w:szCs w:val="21"/>
          <w:u w:val="single"/>
        </w:rPr>
        <w:t>工程质量和进度达不到投标承诺的要求，发包人有权要求承包人调整充实施工力量、更换项目班子，及至解除施工合同，所有履约担保金归发包人，并赔偿发包人损失。</w:t>
      </w:r>
    </w:p>
    <w:p w14:paraId="748C8664">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（3）</w:t>
      </w:r>
      <w:r>
        <w:rPr>
          <w:rFonts w:hint="eastAsia" w:ascii="宋体" w:hAnsi="宋体" w:eastAsia="宋体" w:cs="宋体"/>
          <w:color w:val="auto"/>
          <w:sz w:val="21"/>
          <w:szCs w:val="21"/>
          <w:u w:val="single"/>
        </w:rPr>
        <w:t>发现承包人允许其他人挂靠经营、私自转包，所有履约担保归发包人，同时赔偿发包人损失，并责令退出工地。</w:t>
      </w:r>
    </w:p>
    <w:p w14:paraId="305D5D9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u w:val="single"/>
        </w:rPr>
        <w:t>未达到投标所承诺的诚信、技术标准，按每一项扣减履约担保金的</w:t>
      </w:r>
      <w:r>
        <w:rPr>
          <w:rFonts w:hint="eastAsia" w:ascii="宋体" w:hAnsi="宋体" w:eastAsia="宋体" w:cs="宋体"/>
          <w:color w:val="auto"/>
          <w:sz w:val="21"/>
          <w:szCs w:val="21"/>
          <w:u w:val="single"/>
        </w:rPr>
        <w:t>〔10〕</w:t>
      </w:r>
      <w:r>
        <w:rPr>
          <w:rFonts w:hint="eastAsia" w:ascii="宋体" w:hAnsi="宋体" w:eastAsia="宋体" w:cs="宋体"/>
          <w:color w:val="auto"/>
          <w:kern w:val="0"/>
          <w:sz w:val="21"/>
          <w:szCs w:val="21"/>
          <w:u w:val="single"/>
        </w:rPr>
        <w:t>%。</w:t>
      </w:r>
    </w:p>
    <w:p w14:paraId="6AF8CB4D">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u w:val="single"/>
        </w:rPr>
        <w:t>〕以上时，可解除施工合同。</w:t>
      </w:r>
    </w:p>
    <w:p w14:paraId="5206AFA9">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sz w:val="21"/>
          <w:szCs w:val="21"/>
        </w:rPr>
        <w:t>（6）</w:t>
      </w:r>
      <w:r>
        <w:rPr>
          <w:rFonts w:hint="eastAsia" w:ascii="宋体" w:hAnsi="宋体" w:eastAsia="宋体" w:cs="宋体"/>
          <w:color w:val="auto"/>
          <w:sz w:val="21"/>
          <w:szCs w:val="21"/>
          <w:u w:val="single"/>
        </w:rPr>
        <w:t>承包人无法继续履行、明确表示不履行或实质上已停止履行合同，发包人可通知承包人全部解除合同，所有履约担保归发包人，同时赔偿发包人损失。</w:t>
      </w:r>
    </w:p>
    <w:p w14:paraId="3643153B">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16.2.3因承包人违约解除合同</w:t>
      </w:r>
    </w:p>
    <w:p w14:paraId="659B6DC1">
      <w:pPr>
        <w:autoSpaceDE w:val="0"/>
        <w:autoSpaceDN w:val="0"/>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rPr>
        <w:t>关于承包人违约解除合同的特别约定：</w:t>
      </w:r>
      <w:r>
        <w:rPr>
          <w:rFonts w:hint="eastAsia" w:ascii="宋体" w:hAnsi="宋体" w:eastAsia="宋体" w:cs="宋体"/>
          <w:color w:val="auto"/>
          <w:sz w:val="21"/>
          <w:szCs w:val="21"/>
          <w:u w:val="single"/>
        </w:rPr>
        <w:t>施工现场满足开工条件，且承包人接到发包人发出的开工令后</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u w:val="single"/>
          <w:lang w:eastAsia="zh-CN"/>
        </w:rPr>
        <w:t>0天</w:t>
      </w:r>
      <w:r>
        <w:rPr>
          <w:rFonts w:hint="eastAsia" w:ascii="宋体" w:hAnsi="宋体" w:eastAsia="宋体" w:cs="宋体"/>
          <w:color w:val="auto"/>
          <w:sz w:val="21"/>
          <w:szCs w:val="21"/>
          <w:u w:val="single"/>
        </w:rPr>
        <w:t>内，不进行正常施工的，发包人有权单方面解除合同</w:t>
      </w:r>
      <w:r>
        <w:rPr>
          <w:rFonts w:hint="eastAsia" w:ascii="宋体" w:hAnsi="宋体" w:eastAsia="宋体" w:cs="宋体"/>
          <w:color w:val="auto"/>
          <w:kern w:val="0"/>
          <w:sz w:val="21"/>
          <w:szCs w:val="21"/>
          <w:u w:val="single"/>
        </w:rPr>
        <w:t>。</w:t>
      </w:r>
    </w:p>
    <w:p w14:paraId="3E20DEA1">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color w:val="auto"/>
          <w:kern w:val="0"/>
          <w:sz w:val="21"/>
          <w:szCs w:val="21"/>
        </w:rPr>
        <w:t>。</w:t>
      </w:r>
    </w:p>
    <w:p w14:paraId="0A6F9B7C">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16.2.4因承包人违约解除合同后的处理</w:t>
      </w:r>
    </w:p>
    <w:p w14:paraId="4D55DA17">
      <w:pPr>
        <w:pStyle w:val="7"/>
        <w:keepNext w:val="0"/>
        <w:keepLines w:val="0"/>
        <w:spacing w:before="0" w:after="0" w:line="380" w:lineRule="exact"/>
        <w:rPr>
          <w:rFonts w:ascii="宋体" w:hAnsi="宋体" w:cs="宋体"/>
          <w:b w:val="0"/>
          <w:color w:val="auto"/>
          <w:sz w:val="21"/>
          <w:szCs w:val="21"/>
        </w:rPr>
      </w:pPr>
      <w:bookmarkStart w:id="529" w:name="_Toc351203649"/>
      <w:r>
        <w:rPr>
          <w:rFonts w:hint="eastAsia" w:ascii="宋体" w:hAnsi="宋体" w:cs="宋体"/>
          <w:b w:val="0"/>
          <w:color w:val="auto"/>
          <w:sz w:val="21"/>
          <w:szCs w:val="21"/>
        </w:rPr>
        <w:t>17．不可抗力</w:t>
      </w:r>
      <w:bookmarkEnd w:id="527"/>
      <w:bookmarkEnd w:id="529"/>
    </w:p>
    <w:p w14:paraId="2A217012">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17.1 不可抗力的确认</w:t>
      </w:r>
    </w:p>
    <w:p w14:paraId="2107CB75">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除通用合同条款约定的不可抗力事件之外，视为不可抗力的其他情形：</w:t>
      </w:r>
      <w:r>
        <w:rPr>
          <w:rFonts w:hint="eastAsia" w:ascii="宋体" w:hAnsi="宋体" w:eastAsia="宋体" w:cs="宋体"/>
          <w:color w:val="auto"/>
          <w:kern w:val="0"/>
          <w:sz w:val="21"/>
          <w:szCs w:val="21"/>
          <w:u w:val="single"/>
        </w:rPr>
        <w:t xml:space="preserve"> 10级（不含10级）以上台风、10年一遇洪水、暴风雪、干旱，罢工、政府禁令</w:t>
      </w:r>
      <w:r>
        <w:rPr>
          <w:rFonts w:hint="eastAsia" w:ascii="宋体" w:hAnsi="宋体" w:eastAsia="宋体" w:cs="宋体"/>
          <w:color w:val="auto"/>
          <w:kern w:val="0"/>
          <w:sz w:val="21"/>
          <w:szCs w:val="21"/>
        </w:rPr>
        <w:t>。</w:t>
      </w:r>
    </w:p>
    <w:p w14:paraId="1A542F5A">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17.2 不可抗力的通知</w:t>
      </w:r>
    </w:p>
    <w:p w14:paraId="0E37FE1B">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5421CFB6">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17.3 不可抗力后果的承担</w:t>
      </w:r>
    </w:p>
    <w:p w14:paraId="1BEE3421">
      <w:pPr>
        <w:spacing w:line="380" w:lineRule="exact"/>
        <w:ind w:firstLine="420" w:firstLineChars="200"/>
        <w:rPr>
          <w:rFonts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按通用条款。</w:t>
      </w:r>
    </w:p>
    <w:p w14:paraId="56DDE6C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17.4 因不可抗力解除合同</w:t>
      </w:r>
    </w:p>
    <w:p w14:paraId="40923FE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合同解除后，发包人应在商定或确定发包人应支付款项后天内完成款项的支付。</w:t>
      </w:r>
    </w:p>
    <w:p w14:paraId="1BD0D57B">
      <w:pPr>
        <w:pStyle w:val="7"/>
        <w:keepNext w:val="0"/>
        <w:keepLines w:val="0"/>
        <w:spacing w:before="0" w:after="0" w:line="380" w:lineRule="exact"/>
        <w:rPr>
          <w:rFonts w:ascii="宋体" w:hAnsi="宋体" w:cs="宋体"/>
          <w:b w:val="0"/>
          <w:color w:val="auto"/>
          <w:sz w:val="21"/>
          <w:szCs w:val="21"/>
        </w:rPr>
      </w:pPr>
      <w:bookmarkStart w:id="530" w:name="_Toc351203650"/>
      <w:r>
        <w:rPr>
          <w:rFonts w:hint="eastAsia" w:ascii="宋体" w:hAnsi="宋体" w:cs="宋体"/>
          <w:b w:val="0"/>
          <w:color w:val="auto"/>
          <w:sz w:val="21"/>
          <w:szCs w:val="21"/>
        </w:rPr>
        <w:t>18．保险</w:t>
      </w:r>
      <w:bookmarkEnd w:id="530"/>
    </w:p>
    <w:bookmarkEnd w:id="528"/>
    <w:p w14:paraId="36665F7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18.1 工程保险</w:t>
      </w:r>
    </w:p>
    <w:p w14:paraId="322A51D4">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kern w:val="0"/>
          <w:sz w:val="21"/>
          <w:szCs w:val="21"/>
        </w:rPr>
        <w:t>。</w:t>
      </w:r>
    </w:p>
    <w:p w14:paraId="7FA8126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18.3 其他保险</w:t>
      </w:r>
    </w:p>
    <w:p w14:paraId="1AD555FB">
      <w:pPr>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kern w:val="0"/>
          <w:sz w:val="21"/>
          <w:szCs w:val="21"/>
        </w:rPr>
        <w:t>。</w:t>
      </w:r>
    </w:p>
    <w:p w14:paraId="5C4D62D4">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是</w:t>
      </w:r>
      <w:r>
        <w:rPr>
          <w:rFonts w:hint="eastAsia" w:ascii="宋体" w:hAnsi="宋体" w:eastAsia="宋体" w:cs="宋体"/>
          <w:color w:val="auto"/>
          <w:sz w:val="21"/>
          <w:szCs w:val="21"/>
        </w:rPr>
        <w:t>。</w:t>
      </w:r>
    </w:p>
    <w:p w14:paraId="2D73E4CE">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18.7 通知义务</w:t>
      </w:r>
    </w:p>
    <w:p w14:paraId="5E291ED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kern w:val="0"/>
          <w:sz w:val="21"/>
          <w:szCs w:val="21"/>
        </w:rPr>
        <w:t>关于变更保险合同时的通知义务的约定：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sz w:val="21"/>
          <w:szCs w:val="21"/>
        </w:rPr>
        <w:t>。</w:t>
      </w:r>
    </w:p>
    <w:bookmarkEnd w:id="504"/>
    <w:bookmarkEnd w:id="505"/>
    <w:bookmarkEnd w:id="506"/>
    <w:bookmarkEnd w:id="507"/>
    <w:bookmarkEnd w:id="508"/>
    <w:bookmarkEnd w:id="509"/>
    <w:bookmarkEnd w:id="510"/>
    <w:bookmarkEnd w:id="511"/>
    <w:bookmarkEnd w:id="512"/>
    <w:bookmarkEnd w:id="513"/>
    <w:bookmarkEnd w:id="514"/>
    <w:bookmarkEnd w:id="515"/>
    <w:p w14:paraId="3C57F10C">
      <w:pPr>
        <w:pStyle w:val="7"/>
        <w:keepNext w:val="0"/>
        <w:keepLines w:val="0"/>
        <w:spacing w:before="0" w:after="0" w:line="380" w:lineRule="exact"/>
        <w:rPr>
          <w:rFonts w:ascii="宋体" w:hAnsi="宋体" w:cs="宋体"/>
          <w:b w:val="0"/>
          <w:color w:val="auto"/>
          <w:sz w:val="21"/>
          <w:szCs w:val="21"/>
        </w:rPr>
      </w:pPr>
      <w:bookmarkStart w:id="531" w:name="_Toc351203651"/>
      <w:r>
        <w:rPr>
          <w:rFonts w:hint="eastAsia" w:ascii="宋体" w:hAnsi="宋体" w:cs="宋体"/>
          <w:b w:val="0"/>
          <w:color w:val="auto"/>
          <w:sz w:val="21"/>
          <w:szCs w:val="21"/>
        </w:rPr>
        <w:t>20．争议解决</w:t>
      </w:r>
      <w:bookmarkEnd w:id="531"/>
    </w:p>
    <w:bookmarkEnd w:id="516"/>
    <w:bookmarkEnd w:id="517"/>
    <w:p w14:paraId="3B16937D">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20.3 争</w:t>
      </w:r>
      <w:bookmarkEnd w:id="518"/>
      <w:r>
        <w:rPr>
          <w:rFonts w:hint="eastAsia" w:ascii="宋体" w:hAnsi="宋体" w:eastAsia="宋体" w:cs="宋体"/>
          <w:color w:val="auto"/>
          <w:sz w:val="21"/>
          <w:szCs w:val="21"/>
        </w:rPr>
        <w:t>议评审</w:t>
      </w:r>
    </w:p>
    <w:p w14:paraId="4F4FF78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26E17E5">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20.3.1争议评审小组的确定</w:t>
      </w:r>
    </w:p>
    <w:p w14:paraId="1547A772">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提交争议评审时再选定 </w:t>
      </w:r>
      <w:r>
        <w:rPr>
          <w:rFonts w:hint="eastAsia" w:ascii="宋体" w:hAnsi="宋体" w:eastAsia="宋体" w:cs="宋体"/>
          <w:color w:val="auto"/>
          <w:sz w:val="21"/>
          <w:szCs w:val="21"/>
        </w:rPr>
        <w:t>。</w:t>
      </w:r>
    </w:p>
    <w:p w14:paraId="41AE4CE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2DF37DF">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BC7C367">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其他事项的约定：。</w:t>
      </w:r>
    </w:p>
    <w:p w14:paraId="79658581">
      <w:pPr>
        <w:autoSpaceDE w:val="0"/>
        <w:autoSpaceDN w:val="0"/>
        <w:adjustRightInd w:val="0"/>
        <w:spacing w:line="380" w:lineRule="exact"/>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20.3.2争议评审小组的决定</w:t>
      </w:r>
    </w:p>
    <w:p w14:paraId="0C31B796">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按通用条款。</w:t>
      </w:r>
    </w:p>
    <w:p w14:paraId="2BF13884">
      <w:pPr>
        <w:spacing w:line="380" w:lineRule="exact"/>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20.3.3</w:t>
      </w:r>
      <w:r>
        <w:rPr>
          <w:rFonts w:hint="eastAsia" w:ascii="宋体" w:hAnsi="宋体" w:eastAsia="宋体" w:cs="宋体"/>
          <w:color w:val="auto"/>
          <w:sz w:val="21"/>
          <w:szCs w:val="21"/>
          <w:u w:val="single"/>
        </w:rPr>
        <w:t>争议评审小组决定的效力：按通用条款执行。</w:t>
      </w:r>
    </w:p>
    <w:p w14:paraId="53C9022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20.4仲裁或诉讼</w:t>
      </w:r>
      <w:bookmarkEnd w:id="519"/>
    </w:p>
    <w:p w14:paraId="46F266A9">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种方式解决：</w:t>
      </w:r>
    </w:p>
    <w:p w14:paraId="14571AD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（1）向</w:t>
      </w:r>
      <w:r>
        <w:rPr>
          <w:rFonts w:hint="eastAsia" w:ascii="宋体" w:hAnsi="宋体" w:eastAsia="宋体" w:cs="宋体"/>
          <w:color w:val="auto"/>
          <w:sz w:val="21"/>
          <w:szCs w:val="21"/>
          <w:u w:val="single"/>
        </w:rPr>
        <w:t>台州</w:t>
      </w:r>
      <w:r>
        <w:rPr>
          <w:rFonts w:hint="eastAsia" w:ascii="宋体" w:hAnsi="宋体" w:eastAsia="宋体" w:cs="宋体"/>
          <w:color w:val="auto"/>
          <w:sz w:val="21"/>
          <w:szCs w:val="21"/>
        </w:rPr>
        <w:t>仲裁委员会申请仲裁；</w:t>
      </w:r>
    </w:p>
    <w:p w14:paraId="484A0E7C">
      <w:pPr>
        <w:spacing w:line="38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rPr>
        <w:t>工程属地</w:t>
      </w:r>
      <w:r>
        <w:rPr>
          <w:rFonts w:hint="eastAsia" w:ascii="宋体" w:hAnsi="宋体" w:eastAsia="宋体" w:cs="宋体"/>
          <w:color w:val="auto"/>
          <w:sz w:val="21"/>
          <w:szCs w:val="21"/>
        </w:rPr>
        <w:t>人民法院起诉。</w:t>
      </w:r>
      <w:bookmarkEnd w:id="520"/>
      <w:bookmarkEnd w:id="521"/>
      <w:bookmarkEnd w:id="522"/>
      <w:bookmarkEnd w:id="523"/>
      <w:bookmarkEnd w:id="524"/>
      <w:bookmarkEnd w:id="525"/>
    </w:p>
    <w:p w14:paraId="49A25B3E">
      <w:pPr>
        <w:pStyle w:val="62"/>
        <w:spacing w:before="0" w:after="0" w:line="360" w:lineRule="exact"/>
        <w:ind w:left="0" w:right="0" w:firstLine="420" w:firstLineChars="200"/>
        <w:jc w:val="both"/>
        <w:rPr>
          <w:rFonts w:hint="eastAsia" w:ascii="宋体" w:hAnsi="宋体" w:cs="宋体"/>
          <w:b/>
          <w:bCs/>
          <w:color w:val="auto"/>
          <w:kern w:val="2"/>
          <w:sz w:val="21"/>
          <w:szCs w:val="21"/>
        </w:rPr>
      </w:pPr>
      <w:r>
        <w:rPr>
          <w:rFonts w:hint="eastAsia" w:ascii="宋体" w:hAnsi="宋体" w:cs="宋体"/>
          <w:b/>
          <w:bCs/>
          <w:color w:val="auto"/>
          <w:kern w:val="2"/>
          <w:sz w:val="21"/>
          <w:szCs w:val="21"/>
        </w:rPr>
        <w:t>21．补充条款</w:t>
      </w:r>
    </w:p>
    <w:p w14:paraId="6D5BE1C4">
      <w:pPr>
        <w:pStyle w:val="13"/>
        <w:widowControl/>
        <w:adjustRightInd w:val="0"/>
        <w:spacing w:line="340" w:lineRule="exact"/>
        <w:ind w:firstLine="420" w:firstLineChars="200"/>
        <w:rPr>
          <w:rFonts w:hint="eastAsia" w:hAnsi="宋体" w:cs="宋体"/>
          <w:color w:val="auto"/>
          <w:kern w:val="0"/>
          <w:szCs w:val="21"/>
          <w:u w:val="single"/>
        </w:rPr>
      </w:pPr>
      <w:r>
        <w:rPr>
          <w:rFonts w:hint="eastAsia" w:hAnsi="宋体" w:cs="宋体"/>
          <w:color w:val="auto"/>
          <w:kern w:val="0"/>
          <w:szCs w:val="21"/>
          <w:u w:val="single"/>
        </w:rPr>
        <w:t>21.</w:t>
      </w:r>
      <w:r>
        <w:rPr>
          <w:rFonts w:hint="eastAsia" w:hAnsi="宋体" w:eastAsia="宋体" w:cs="宋体"/>
          <w:color w:val="auto"/>
          <w:kern w:val="0"/>
          <w:szCs w:val="21"/>
          <w:u w:val="single"/>
          <w:lang w:val="en-US" w:eastAsia="zh-CN"/>
        </w:rPr>
        <w:t>1</w:t>
      </w:r>
      <w:r>
        <w:rPr>
          <w:rFonts w:hint="eastAsia" w:hAnsi="宋体" w:cs="宋体"/>
          <w:color w:val="auto"/>
          <w:kern w:val="0"/>
          <w:szCs w:val="21"/>
          <w:u w:val="single"/>
        </w:rPr>
        <w:t>本工程招标控制价计价依据：</w:t>
      </w:r>
    </w:p>
    <w:p w14:paraId="4203DB9E">
      <w:pPr>
        <w:numPr>
          <w:ilvl w:val="0"/>
          <w:numId w:val="0"/>
        </w:numPr>
        <w:adjustRightInd w:val="0"/>
        <w:snapToGrid w:val="0"/>
        <w:spacing w:line="360" w:lineRule="auto"/>
        <w:ind w:leftChars="0" w:firstLine="420" w:firstLineChars="200"/>
        <w:rPr>
          <w:rFonts w:hint="eastAsia" w:ascii="宋体" w:hAnsi="宋体" w:eastAsia="Calibri" w:cs="宋体"/>
          <w:color w:val="auto"/>
          <w:kern w:val="0"/>
          <w:sz w:val="21"/>
          <w:szCs w:val="21"/>
          <w:u w:val="single"/>
          <w:lang w:val="en-US" w:eastAsia="zh-CN" w:bidi="ar-SA"/>
        </w:rPr>
      </w:pPr>
      <w:r>
        <w:rPr>
          <w:rFonts w:hint="eastAsia" w:ascii="宋体" w:hAnsi="宋体" w:eastAsia="Calibri" w:cs="宋体"/>
          <w:color w:val="auto"/>
          <w:kern w:val="0"/>
          <w:sz w:val="21"/>
          <w:szCs w:val="21"/>
          <w:u w:val="single"/>
          <w:lang w:val="en-US" w:eastAsia="zh-CN" w:bidi="ar-SA"/>
        </w:rPr>
        <w:t>1、《建设工程工程量清单计价规范》（GB 50500－2013）、《园林绿化工程工程量计算规范》（GB 50858－2013）、《市政工程工程量计算规范》（GB 50857－2013）、《房屋建筑与装饰工程工程量计算规范》（GB 50854－2013）、《通用安装工程工程量计算规范》（GB 50856－2013）、《浙江省房屋建筑与装饰工程预算定额》（2018版）、《浙江省市政工程预算定额》（2018版）、《浙江省通用安装工程预算定额》（2018版）、《浙江省园林绿化及仿古建筑工程预算定额》（2018版）、《浙江省建设工程计价规则》（2018）工程所在地现行的有关工程造价方面规定；</w:t>
      </w:r>
    </w:p>
    <w:p w14:paraId="1A3312DF">
      <w:pPr>
        <w:numPr>
          <w:ilvl w:val="0"/>
          <w:numId w:val="0"/>
        </w:numPr>
        <w:adjustRightInd w:val="0"/>
        <w:snapToGrid w:val="0"/>
        <w:spacing w:line="360" w:lineRule="auto"/>
        <w:ind w:leftChars="0" w:firstLine="420" w:firstLineChars="200"/>
        <w:rPr>
          <w:rFonts w:hint="eastAsia" w:ascii="宋体" w:hAnsi="宋体" w:eastAsia="Calibri" w:cs="宋体"/>
          <w:color w:val="auto"/>
          <w:kern w:val="0"/>
          <w:sz w:val="21"/>
          <w:szCs w:val="21"/>
          <w:u w:val="single"/>
          <w:lang w:val="en-US" w:eastAsia="zh-CN" w:bidi="ar-SA"/>
        </w:rPr>
      </w:pPr>
      <w:r>
        <w:rPr>
          <w:rFonts w:hint="eastAsia" w:ascii="宋体" w:hAnsi="宋体" w:cs="宋体"/>
          <w:color w:val="auto"/>
          <w:kern w:val="0"/>
          <w:sz w:val="21"/>
          <w:szCs w:val="21"/>
          <w:u w:val="single"/>
          <w:lang w:val="en-US" w:eastAsia="zh-CN" w:bidi="ar-SA"/>
        </w:rPr>
        <w:t>2</w:t>
      </w:r>
      <w:r>
        <w:rPr>
          <w:rFonts w:hint="eastAsia" w:ascii="宋体" w:hAnsi="宋体" w:eastAsia="Calibri" w:cs="宋体"/>
          <w:color w:val="auto"/>
          <w:kern w:val="0"/>
          <w:sz w:val="21"/>
          <w:szCs w:val="21"/>
          <w:u w:val="single"/>
          <w:lang w:val="en-US" w:eastAsia="zh-CN" w:bidi="ar-SA"/>
        </w:rPr>
        <w:t>、台州造价信息正刊：2025年</w:t>
      </w:r>
      <w:r>
        <w:rPr>
          <w:rFonts w:hint="eastAsia" w:ascii="宋体" w:hAnsi="宋体" w:cs="宋体"/>
          <w:color w:val="auto"/>
          <w:kern w:val="0"/>
          <w:sz w:val="21"/>
          <w:szCs w:val="21"/>
          <w:u w:val="single"/>
          <w:lang w:val="en-US" w:eastAsia="zh-CN" w:bidi="ar-SA"/>
        </w:rPr>
        <w:t>5</w:t>
      </w:r>
      <w:r>
        <w:rPr>
          <w:rFonts w:hint="eastAsia" w:ascii="宋体" w:hAnsi="宋体" w:eastAsia="Calibri" w:cs="宋体"/>
          <w:color w:val="auto"/>
          <w:kern w:val="0"/>
          <w:sz w:val="21"/>
          <w:szCs w:val="21"/>
          <w:u w:val="single"/>
          <w:lang w:val="en-US" w:eastAsia="zh-CN" w:bidi="ar-SA"/>
        </w:rPr>
        <w:t>月；</w:t>
      </w:r>
    </w:p>
    <w:p w14:paraId="6501A901">
      <w:pPr>
        <w:numPr>
          <w:ilvl w:val="0"/>
          <w:numId w:val="0"/>
        </w:numPr>
        <w:adjustRightInd w:val="0"/>
        <w:snapToGrid w:val="0"/>
        <w:spacing w:line="360" w:lineRule="auto"/>
        <w:ind w:leftChars="0" w:firstLine="420" w:firstLineChars="200"/>
        <w:rPr>
          <w:rFonts w:hint="eastAsia" w:ascii="宋体" w:hAnsi="宋体" w:eastAsia="Calibri" w:cs="宋体"/>
          <w:color w:val="auto"/>
          <w:kern w:val="0"/>
          <w:sz w:val="21"/>
          <w:szCs w:val="21"/>
          <w:u w:val="single"/>
          <w:lang w:val="en-US" w:eastAsia="zh-CN" w:bidi="ar-SA"/>
        </w:rPr>
      </w:pPr>
      <w:r>
        <w:rPr>
          <w:rFonts w:hint="eastAsia" w:ascii="宋体" w:hAnsi="宋体" w:cs="宋体"/>
          <w:color w:val="auto"/>
          <w:kern w:val="0"/>
          <w:sz w:val="21"/>
          <w:szCs w:val="21"/>
          <w:u w:val="single"/>
          <w:lang w:val="en-US" w:eastAsia="zh-CN" w:bidi="ar-SA"/>
        </w:rPr>
        <w:t>3</w:t>
      </w:r>
      <w:r>
        <w:rPr>
          <w:rFonts w:hint="eastAsia" w:ascii="宋体" w:hAnsi="宋体" w:eastAsia="Calibri" w:cs="宋体"/>
          <w:color w:val="auto"/>
          <w:kern w:val="0"/>
          <w:sz w:val="21"/>
          <w:szCs w:val="21"/>
          <w:u w:val="single"/>
          <w:lang w:val="en-US" w:eastAsia="zh-CN" w:bidi="ar-SA"/>
        </w:rPr>
        <w:t>、本工程施工图；</w:t>
      </w:r>
    </w:p>
    <w:p w14:paraId="211A6B12">
      <w:pPr>
        <w:numPr>
          <w:ilvl w:val="0"/>
          <w:numId w:val="0"/>
        </w:numPr>
        <w:adjustRightInd w:val="0"/>
        <w:snapToGrid w:val="0"/>
        <w:spacing w:line="360" w:lineRule="auto"/>
        <w:ind w:leftChars="0" w:firstLine="420" w:firstLineChars="200"/>
        <w:rPr>
          <w:rFonts w:hint="eastAsia" w:ascii="宋体" w:hAnsi="宋体" w:eastAsia="Calibri" w:cs="宋体"/>
          <w:color w:val="auto"/>
          <w:kern w:val="0"/>
          <w:sz w:val="21"/>
          <w:szCs w:val="21"/>
          <w:u w:val="single"/>
          <w:lang w:val="en-US" w:eastAsia="zh-CN" w:bidi="ar-SA"/>
        </w:rPr>
      </w:pPr>
      <w:r>
        <w:rPr>
          <w:rFonts w:hint="eastAsia" w:ascii="宋体" w:hAnsi="宋体" w:cs="宋体"/>
          <w:color w:val="auto"/>
          <w:kern w:val="0"/>
          <w:sz w:val="21"/>
          <w:szCs w:val="21"/>
          <w:u w:val="single"/>
          <w:lang w:val="en-US" w:eastAsia="zh-CN" w:bidi="ar-SA"/>
        </w:rPr>
        <w:t>4</w:t>
      </w:r>
      <w:r>
        <w:rPr>
          <w:rFonts w:hint="eastAsia" w:ascii="宋体" w:hAnsi="宋体" w:eastAsia="Calibri" w:cs="宋体"/>
          <w:color w:val="auto"/>
          <w:kern w:val="0"/>
          <w:sz w:val="21"/>
          <w:szCs w:val="21"/>
          <w:u w:val="single"/>
          <w:lang w:val="en-US" w:eastAsia="zh-CN" w:bidi="ar-SA"/>
        </w:rPr>
        <w:t>、建筑垃圾消纳费暂按一项10000元考虑，结算时按实签证结算；</w:t>
      </w:r>
    </w:p>
    <w:p w14:paraId="12624799">
      <w:pPr>
        <w:pStyle w:val="13"/>
        <w:widowControl/>
        <w:adjustRightInd w:val="0"/>
        <w:spacing w:line="340" w:lineRule="exact"/>
        <w:ind w:firstLine="420" w:firstLineChars="200"/>
        <w:rPr>
          <w:rFonts w:hint="default" w:ascii="宋体" w:hAnsi="宋体" w:eastAsia="Calibri" w:cs="宋体"/>
          <w:color w:val="auto"/>
          <w:kern w:val="0"/>
          <w:sz w:val="21"/>
          <w:szCs w:val="21"/>
          <w:u w:val="single"/>
          <w:lang w:val="en-US" w:eastAsia="zh-CN" w:bidi="ar-SA"/>
        </w:rPr>
      </w:pPr>
      <w:r>
        <w:rPr>
          <w:rFonts w:hint="eastAsia" w:hAnsi="宋体" w:cs="宋体"/>
          <w:color w:val="auto"/>
          <w:kern w:val="0"/>
          <w:sz w:val="21"/>
          <w:szCs w:val="21"/>
          <w:u w:val="single"/>
          <w:lang w:val="en-US" w:eastAsia="zh-CN" w:bidi="ar-SA"/>
        </w:rPr>
        <w:t>5</w:t>
      </w:r>
      <w:r>
        <w:rPr>
          <w:rFonts w:hint="eastAsia" w:ascii="宋体" w:hAnsi="宋体" w:eastAsia="Calibri" w:cs="宋体"/>
          <w:color w:val="auto"/>
          <w:kern w:val="0"/>
          <w:sz w:val="21"/>
          <w:szCs w:val="21"/>
          <w:u w:val="single"/>
          <w:lang w:val="en-US" w:eastAsia="zh-CN" w:bidi="ar-SA"/>
        </w:rPr>
        <w:t>、现状家具搬运暂按一项1</w:t>
      </w:r>
      <w:r>
        <w:rPr>
          <w:rFonts w:hint="eastAsia" w:hAnsi="宋体" w:cs="宋体"/>
          <w:color w:val="auto"/>
          <w:kern w:val="0"/>
          <w:sz w:val="21"/>
          <w:szCs w:val="21"/>
          <w:u w:val="single"/>
          <w:lang w:val="en-US" w:eastAsia="zh-CN" w:bidi="ar-SA"/>
        </w:rPr>
        <w:t>2</w:t>
      </w:r>
      <w:r>
        <w:rPr>
          <w:rFonts w:hint="eastAsia" w:ascii="宋体" w:hAnsi="宋体" w:eastAsia="Calibri" w:cs="宋体"/>
          <w:color w:val="auto"/>
          <w:kern w:val="0"/>
          <w:sz w:val="21"/>
          <w:szCs w:val="21"/>
          <w:u w:val="single"/>
          <w:lang w:val="en-US" w:eastAsia="zh-CN" w:bidi="ar-SA"/>
        </w:rPr>
        <w:t>000元，结算按时签证结算；</w:t>
      </w:r>
    </w:p>
    <w:p w14:paraId="7F480D82">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b/>
          <w:bCs/>
          <w:color w:val="auto"/>
          <w:sz w:val="21"/>
          <w:szCs w:val="21"/>
        </w:rPr>
        <w:t>附件：</w:t>
      </w:r>
    </w:p>
    <w:p w14:paraId="591CA282">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工程质量保修书</w:t>
      </w:r>
    </w:p>
    <w:p w14:paraId="3CFBB9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发包人（全称）：</w:t>
      </w:r>
      <w:r>
        <w:rPr>
          <w:rFonts w:hint="eastAsia" w:ascii="宋体" w:hAnsi="宋体" w:eastAsia="宋体" w:cs="宋体"/>
          <w:color w:val="auto"/>
          <w:sz w:val="21"/>
          <w:szCs w:val="21"/>
          <w:u w:val="single"/>
          <w:lang w:eastAsia="zh-CN"/>
        </w:rPr>
        <w:t>台州市黄岩区人民政府北城街道办事处</w:t>
      </w:r>
    </w:p>
    <w:p w14:paraId="501DA9F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u w:val="single"/>
        </w:rPr>
      </w:pPr>
      <w:r>
        <w:rPr>
          <w:rFonts w:hint="eastAsia" w:ascii="宋体" w:hAnsi="宋体" w:eastAsia="宋体" w:cs="宋体"/>
          <w:color w:val="auto"/>
          <w:sz w:val="21"/>
          <w:szCs w:val="21"/>
        </w:rPr>
        <w:t>承包人（全称）：</w:t>
      </w:r>
    </w:p>
    <w:p w14:paraId="68984FD2">
      <w:pPr>
        <w:keepNext w:val="0"/>
        <w:keepLines w:val="0"/>
        <w:pageBreakBefore w:val="0"/>
        <w:widowControl w:val="0"/>
        <w:kinsoku/>
        <w:wordWrap/>
        <w:overflowPunct/>
        <w:topLinePunct w:val="0"/>
        <w:autoSpaceDE/>
        <w:autoSpaceDN/>
        <w:bidi w:val="0"/>
        <w:adjustRightInd/>
        <w:snapToGrid/>
        <w:spacing w:line="360" w:lineRule="auto"/>
        <w:ind w:firstLine="410"/>
        <w:textAlignment w:val="auto"/>
        <w:rPr>
          <w:rFonts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发包人和承包人根据《中华人民共和国建筑法》和《建设工程质量管理条例》，经协商一致，</w:t>
      </w:r>
    </w:p>
    <w:p w14:paraId="38DBE0D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就</w:t>
      </w:r>
      <w:r>
        <w:rPr>
          <w:rFonts w:hint="eastAsia" w:ascii="宋体" w:hAnsi="宋体" w:eastAsia="宋体" w:cs="宋体"/>
          <w:color w:val="auto"/>
          <w:sz w:val="21"/>
          <w:szCs w:val="21"/>
          <w:u w:val="single"/>
          <w:lang w:eastAsia="zh-CN"/>
        </w:rPr>
        <w:t>北城办事处改造工程</w:t>
      </w:r>
      <w:r>
        <w:rPr>
          <w:rFonts w:hint="eastAsia" w:ascii="宋体" w:hAnsi="宋体" w:eastAsia="宋体" w:cs="宋体"/>
          <w:color w:val="auto"/>
          <w:sz w:val="21"/>
          <w:szCs w:val="21"/>
        </w:rPr>
        <w:t>签订工程质量保修书。</w:t>
      </w:r>
    </w:p>
    <w:p w14:paraId="3143AF7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56F06D1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　　承包人在质量保修期内，按照有关法律规定和合同约定，承担工程质量保修责任。</w:t>
      </w:r>
    </w:p>
    <w:p w14:paraId="3735F1B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u w:val="single"/>
        </w:rPr>
        <w:t>施工范围内的全部内容</w:t>
      </w:r>
    </w:p>
    <w:p w14:paraId="723A894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二、质量保修期</w:t>
      </w:r>
    </w:p>
    <w:p w14:paraId="294C5B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根据《建设工程质量管理条例》及有关规定，工程的质量保修期如下：</w:t>
      </w:r>
    </w:p>
    <w:p w14:paraId="2F21AC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14:paraId="350AD5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年；</w:t>
      </w:r>
    </w:p>
    <w:p w14:paraId="765402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3．装修工程为</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年；</w:t>
      </w:r>
    </w:p>
    <w:p w14:paraId="5BF459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年；</w:t>
      </w:r>
    </w:p>
    <w:p w14:paraId="2C61E2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个采暖期、供冷期；</w:t>
      </w:r>
    </w:p>
    <w:p w14:paraId="14D31327">
      <w:pPr>
        <w:keepNext w:val="0"/>
        <w:keepLines w:val="0"/>
        <w:pageBreakBefore w:val="0"/>
        <w:widowControl w:val="0"/>
        <w:kinsoku/>
        <w:wordWrap/>
        <w:overflowPunct/>
        <w:topLinePunct w:val="0"/>
        <w:autoSpaceDE w:val="0"/>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年；</w:t>
      </w:r>
    </w:p>
    <w:p w14:paraId="084E0E40">
      <w:pPr>
        <w:keepNext w:val="0"/>
        <w:keepLines w:val="0"/>
        <w:pageBreakBefore w:val="0"/>
        <w:widowControl w:val="0"/>
        <w:kinsoku/>
        <w:wordWrap/>
        <w:overflowPunct/>
        <w:topLinePunct w:val="0"/>
        <w:autoSpaceDE w:val="0"/>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．本工程项目保修期限约定如下：</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rPr>
        <w:t>。</w:t>
      </w:r>
    </w:p>
    <w:p w14:paraId="34E2F53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　　质量保修期自工程竣工验收合格之日起计算。</w:t>
      </w:r>
    </w:p>
    <w:p w14:paraId="5DAC1AA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三、缺陷责任期</w:t>
      </w:r>
    </w:p>
    <w:p w14:paraId="3269C1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lang w:val="en-US" w:eastAsia="zh-CN"/>
        </w:rPr>
        <w:t>24</w:t>
      </w:r>
      <w:r>
        <w:rPr>
          <w:rFonts w:hint="eastAsia" w:ascii="宋体" w:hAnsi="宋体" w:eastAsia="宋体" w:cs="宋体"/>
          <w:color w:val="auto"/>
          <w:sz w:val="21"/>
          <w:szCs w:val="21"/>
        </w:rPr>
        <w:t>个月，缺陷责任期自工程竣工验收合格交付发包人使用之日起计算。单位工程先于全部工程进行验收，单位工程缺陷责任期自单位工程验收合格之日起算。</w:t>
      </w:r>
    </w:p>
    <w:p w14:paraId="33D7FA0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四、质量保修责任</w:t>
      </w:r>
    </w:p>
    <w:p w14:paraId="08AD95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1．属于保修范围、内容的项目，承包人应当在接到保修通知之日起2天内派人保修。承包人不在约定期限内派人保修的，发包人可以委托他人修理。</w:t>
      </w:r>
    </w:p>
    <w:p w14:paraId="13BAFC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0AC176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3．对于涉及结构安全的质量问题，应当按照《建设工程质量管理条例》的规定，立即向当地有关部门报告，采取安全防范措施，并由原设计人或者具有相应资质等级的设计人提出保修方案，承包人实施保修。</w:t>
      </w:r>
    </w:p>
    <w:p w14:paraId="6280E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4．质量保修完成后，由发包人组织验收。</w:t>
      </w:r>
    </w:p>
    <w:p w14:paraId="7922FBB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五、保修费用：保修费用由造成质量缺陷的责任方承担。</w:t>
      </w:r>
    </w:p>
    <w:p w14:paraId="1F0EBD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b/>
          <w:color w:val="auto"/>
          <w:sz w:val="21"/>
          <w:szCs w:val="21"/>
        </w:rPr>
        <w:t>六</w:t>
      </w:r>
      <w:r>
        <w:rPr>
          <w:rFonts w:hint="eastAsia" w:ascii="宋体" w:hAnsi="宋体" w:eastAsia="宋体" w:cs="宋体"/>
          <w:color w:val="auto"/>
          <w:sz w:val="21"/>
          <w:szCs w:val="21"/>
        </w:rPr>
        <w:t>、双方约定的其他工程质量保修事项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w:t>
      </w:r>
    </w:p>
    <w:p w14:paraId="732B96D7">
      <w:pPr>
        <w:keepNext w:val="0"/>
        <w:keepLines w:val="0"/>
        <w:pageBreakBefore w:val="0"/>
        <w:widowControl w:val="0"/>
        <w:kinsoku/>
        <w:wordWrap/>
        <w:overflowPunct/>
        <w:topLinePunct w:val="0"/>
        <w:autoSpaceDE/>
        <w:autoSpaceDN/>
        <w:bidi w:val="0"/>
        <w:adjustRightInd/>
        <w:snapToGrid/>
        <w:spacing w:line="360" w:lineRule="auto"/>
        <w:ind w:firstLine="399" w:firstLineChars="190"/>
        <w:textAlignment w:val="auto"/>
        <w:rPr>
          <w:rFonts w:ascii="宋体" w:hAnsi="宋体" w:eastAsia="宋体" w:cs="宋体"/>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3707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700" w:type="dxa"/>
            <w:tcBorders>
              <w:top w:val="nil"/>
              <w:left w:val="nil"/>
              <w:bottom w:val="nil"/>
              <w:right w:val="nil"/>
            </w:tcBorders>
            <w:noWrap w:val="0"/>
            <w:vAlign w:val="top"/>
          </w:tcPr>
          <w:p w14:paraId="1B621A4F">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p>
          <w:p w14:paraId="260571F5">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发包人：（公章或合同专用章）</w:t>
            </w:r>
          </w:p>
          <w:p w14:paraId="03814C56">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住所：</w:t>
            </w:r>
          </w:p>
          <w:p w14:paraId="19DF4BBF">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法定代表人(签字)</w:t>
            </w:r>
          </w:p>
          <w:p w14:paraId="1949C004">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签约代表人(签字)：</w:t>
            </w:r>
          </w:p>
          <w:p w14:paraId="0C99F877">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电话：</w:t>
            </w:r>
          </w:p>
          <w:p w14:paraId="728FF7A4">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传真：</w:t>
            </w:r>
          </w:p>
          <w:p w14:paraId="16C8B668">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开户银行：</w:t>
            </w:r>
          </w:p>
          <w:p w14:paraId="67C26219">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账号：</w:t>
            </w:r>
          </w:p>
          <w:p w14:paraId="6AF9D1F2">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olor w:val="auto"/>
                <w:kern w:val="2"/>
                <w:sz w:val="21"/>
                <w:szCs w:val="21"/>
              </w:rPr>
            </w:pPr>
            <w:r>
              <w:rPr>
                <w:rFonts w:hint="eastAsia" w:ascii="宋体" w:hAnsi="宋体" w:eastAsia="宋体" w:cs="宋体"/>
                <w:color w:val="auto"/>
                <w:kern w:val="2"/>
                <w:sz w:val="21"/>
                <w:szCs w:val="21"/>
              </w:rPr>
              <w:t>邮政编码：</w:t>
            </w:r>
          </w:p>
        </w:tc>
        <w:tc>
          <w:tcPr>
            <w:tcW w:w="4701" w:type="dxa"/>
            <w:tcBorders>
              <w:top w:val="nil"/>
              <w:left w:val="nil"/>
              <w:bottom w:val="nil"/>
              <w:right w:val="nil"/>
            </w:tcBorders>
            <w:noWrap w:val="0"/>
            <w:vAlign w:val="top"/>
          </w:tcPr>
          <w:p w14:paraId="75A45B17">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p>
          <w:p w14:paraId="42C6AD9A">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承包人：（公章或合同专用章）</w:t>
            </w:r>
          </w:p>
          <w:p w14:paraId="27FFE3DC">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住所：</w:t>
            </w:r>
          </w:p>
          <w:p w14:paraId="7C5F6A18">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法定代表人(签字)：</w:t>
            </w:r>
          </w:p>
          <w:p w14:paraId="6C669768">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签约代表人(签字)：</w:t>
            </w:r>
          </w:p>
          <w:p w14:paraId="18287A5F">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电话：</w:t>
            </w:r>
          </w:p>
          <w:p w14:paraId="53FE995D">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传真：</w:t>
            </w:r>
          </w:p>
          <w:p w14:paraId="654A0CD9">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开户银行：</w:t>
            </w:r>
          </w:p>
          <w:p w14:paraId="3C5D77A3">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s="宋体"/>
                <w:color w:val="auto"/>
                <w:kern w:val="2"/>
                <w:sz w:val="21"/>
                <w:szCs w:val="21"/>
              </w:rPr>
            </w:pPr>
            <w:r>
              <w:rPr>
                <w:rFonts w:hint="eastAsia" w:ascii="宋体" w:hAnsi="宋体" w:eastAsia="宋体" w:cs="宋体"/>
                <w:color w:val="auto"/>
                <w:kern w:val="2"/>
                <w:sz w:val="21"/>
                <w:szCs w:val="21"/>
              </w:rPr>
              <w:t>账号：</w:t>
            </w:r>
          </w:p>
          <w:p w14:paraId="3487C03B">
            <w:pPr>
              <w:keepNext w:val="0"/>
              <w:keepLines w:val="0"/>
              <w:pageBreakBefore w:val="0"/>
              <w:widowControl w:val="0"/>
              <w:kinsoku/>
              <w:wordWrap/>
              <w:overflowPunct/>
              <w:topLinePunct w:val="0"/>
              <w:autoSpaceDN/>
              <w:bidi w:val="0"/>
              <w:spacing w:after="0" w:line="360" w:lineRule="auto"/>
              <w:jc w:val="both"/>
              <w:textAlignment w:val="auto"/>
              <w:rPr>
                <w:rFonts w:ascii="宋体" w:hAnsi="宋体" w:eastAsia="宋体"/>
                <w:color w:val="auto"/>
                <w:kern w:val="2"/>
                <w:sz w:val="21"/>
                <w:szCs w:val="21"/>
              </w:rPr>
            </w:pPr>
            <w:r>
              <w:rPr>
                <w:rFonts w:hint="eastAsia" w:ascii="宋体" w:hAnsi="宋体" w:eastAsia="宋体" w:cs="宋体"/>
                <w:color w:val="auto"/>
                <w:kern w:val="2"/>
                <w:sz w:val="21"/>
                <w:szCs w:val="21"/>
              </w:rPr>
              <w:t>邮政编码：</w:t>
            </w:r>
          </w:p>
        </w:tc>
      </w:tr>
    </w:tbl>
    <w:p w14:paraId="46CB1D81">
      <w:pPr>
        <w:spacing w:line="360" w:lineRule="auto"/>
        <w:ind w:firstLine="399" w:firstLineChars="190"/>
        <w:rPr>
          <w:rFonts w:ascii="宋体" w:hAnsi="宋体" w:eastAsia="宋体" w:cs="宋体"/>
          <w:color w:val="auto"/>
          <w:sz w:val="21"/>
          <w:szCs w:val="21"/>
        </w:rPr>
      </w:pPr>
    </w:p>
    <w:p w14:paraId="7ECC6CF2">
      <w:pPr>
        <w:pStyle w:val="33"/>
        <w:rPr>
          <w:rFonts w:ascii="宋体" w:hAnsi="宋体" w:eastAsia="宋体" w:cs="宋体"/>
          <w:color w:val="auto"/>
          <w:sz w:val="21"/>
          <w:szCs w:val="21"/>
        </w:rPr>
      </w:pPr>
    </w:p>
    <w:p w14:paraId="671CDFAA">
      <w:pPr>
        <w:pStyle w:val="33"/>
        <w:rPr>
          <w:rFonts w:ascii="宋体" w:hAnsi="宋体" w:eastAsia="宋体" w:cs="宋体"/>
          <w:color w:val="auto"/>
          <w:sz w:val="21"/>
          <w:szCs w:val="21"/>
        </w:rPr>
      </w:pPr>
    </w:p>
    <w:p w14:paraId="04DB5414">
      <w:pPr>
        <w:pStyle w:val="33"/>
        <w:rPr>
          <w:rFonts w:ascii="宋体" w:hAnsi="宋体" w:eastAsia="宋体" w:cs="宋体"/>
          <w:color w:val="auto"/>
          <w:sz w:val="21"/>
          <w:szCs w:val="21"/>
        </w:rPr>
      </w:pPr>
    </w:p>
    <w:p w14:paraId="34778BF1">
      <w:pPr>
        <w:pStyle w:val="33"/>
        <w:rPr>
          <w:rFonts w:ascii="宋体" w:hAnsi="宋体" w:eastAsia="宋体" w:cs="宋体"/>
          <w:color w:val="auto"/>
          <w:sz w:val="21"/>
          <w:szCs w:val="21"/>
        </w:rPr>
      </w:pPr>
    </w:p>
    <w:p w14:paraId="6BCF4D3C">
      <w:pPr>
        <w:pStyle w:val="33"/>
        <w:rPr>
          <w:rFonts w:ascii="宋体" w:hAnsi="宋体" w:eastAsia="宋体" w:cs="宋体"/>
          <w:color w:val="auto"/>
          <w:sz w:val="21"/>
          <w:szCs w:val="21"/>
        </w:rPr>
      </w:pPr>
    </w:p>
    <w:p w14:paraId="423862CE">
      <w:pPr>
        <w:pStyle w:val="33"/>
        <w:rPr>
          <w:rFonts w:ascii="宋体" w:hAnsi="宋体" w:eastAsia="宋体" w:cs="宋体"/>
          <w:color w:val="auto"/>
          <w:sz w:val="21"/>
          <w:szCs w:val="21"/>
        </w:rPr>
      </w:pPr>
    </w:p>
    <w:p w14:paraId="4926E95A">
      <w:pPr>
        <w:pStyle w:val="33"/>
        <w:rPr>
          <w:rFonts w:ascii="宋体" w:hAnsi="宋体" w:eastAsia="宋体" w:cs="宋体"/>
          <w:color w:val="auto"/>
          <w:sz w:val="21"/>
          <w:szCs w:val="21"/>
        </w:rPr>
      </w:pPr>
    </w:p>
    <w:p w14:paraId="67A96D50">
      <w:pPr>
        <w:pStyle w:val="33"/>
        <w:rPr>
          <w:rFonts w:ascii="宋体" w:hAnsi="宋体" w:eastAsia="宋体" w:cs="宋体"/>
          <w:color w:val="auto"/>
          <w:sz w:val="21"/>
          <w:szCs w:val="21"/>
        </w:rPr>
      </w:pPr>
    </w:p>
    <w:p w14:paraId="00494243">
      <w:pPr>
        <w:pStyle w:val="33"/>
        <w:rPr>
          <w:rFonts w:ascii="宋体" w:hAnsi="宋体" w:eastAsia="宋体" w:cs="宋体"/>
          <w:color w:val="auto"/>
          <w:sz w:val="21"/>
          <w:szCs w:val="21"/>
        </w:rPr>
      </w:pPr>
    </w:p>
    <w:p w14:paraId="0BD5114D">
      <w:pPr>
        <w:pStyle w:val="33"/>
        <w:rPr>
          <w:rFonts w:ascii="宋体" w:hAnsi="宋体" w:eastAsia="宋体" w:cs="宋体"/>
          <w:color w:val="auto"/>
          <w:sz w:val="21"/>
          <w:szCs w:val="21"/>
        </w:rPr>
      </w:pPr>
    </w:p>
    <w:p w14:paraId="54C6E960">
      <w:pPr>
        <w:pStyle w:val="33"/>
        <w:rPr>
          <w:rFonts w:ascii="宋体" w:hAnsi="宋体" w:eastAsia="宋体" w:cs="宋体"/>
          <w:color w:val="auto"/>
          <w:sz w:val="21"/>
          <w:szCs w:val="21"/>
        </w:rPr>
      </w:pPr>
    </w:p>
    <w:p w14:paraId="615D6931">
      <w:pPr>
        <w:pStyle w:val="33"/>
        <w:rPr>
          <w:rFonts w:ascii="宋体" w:hAnsi="宋体" w:eastAsia="宋体" w:cs="宋体"/>
          <w:color w:val="auto"/>
          <w:sz w:val="21"/>
          <w:szCs w:val="21"/>
        </w:rPr>
      </w:pPr>
    </w:p>
    <w:p w14:paraId="6EB6C971">
      <w:pPr>
        <w:pStyle w:val="33"/>
        <w:rPr>
          <w:rFonts w:ascii="宋体" w:hAnsi="宋体" w:eastAsia="宋体" w:cs="宋体"/>
          <w:color w:val="auto"/>
          <w:sz w:val="21"/>
          <w:szCs w:val="21"/>
        </w:rPr>
      </w:pPr>
    </w:p>
    <w:p w14:paraId="408A5335">
      <w:pPr>
        <w:pStyle w:val="33"/>
        <w:rPr>
          <w:rFonts w:ascii="宋体" w:hAnsi="宋体" w:eastAsia="宋体" w:cs="宋体"/>
          <w:color w:val="auto"/>
          <w:sz w:val="21"/>
          <w:szCs w:val="21"/>
        </w:rPr>
      </w:pPr>
    </w:p>
    <w:p w14:paraId="76FF31F7">
      <w:pPr>
        <w:pStyle w:val="33"/>
        <w:rPr>
          <w:rFonts w:ascii="宋体" w:hAnsi="宋体" w:eastAsia="宋体" w:cs="宋体"/>
          <w:color w:val="auto"/>
          <w:sz w:val="21"/>
          <w:szCs w:val="21"/>
        </w:rPr>
      </w:pPr>
    </w:p>
    <w:p w14:paraId="12D45B11">
      <w:pPr>
        <w:pStyle w:val="33"/>
        <w:rPr>
          <w:rFonts w:ascii="宋体" w:hAnsi="宋体" w:eastAsia="宋体" w:cs="宋体"/>
          <w:color w:val="auto"/>
          <w:sz w:val="21"/>
          <w:szCs w:val="21"/>
        </w:rPr>
      </w:pPr>
    </w:p>
    <w:p w14:paraId="02C13351">
      <w:pPr>
        <w:pStyle w:val="33"/>
        <w:rPr>
          <w:rFonts w:ascii="宋体" w:hAnsi="宋体" w:eastAsia="宋体" w:cs="宋体"/>
          <w:color w:val="auto"/>
          <w:sz w:val="21"/>
          <w:szCs w:val="21"/>
        </w:rPr>
      </w:pPr>
    </w:p>
    <w:p w14:paraId="78DF3FE4">
      <w:pPr>
        <w:pStyle w:val="33"/>
        <w:rPr>
          <w:rFonts w:ascii="宋体" w:hAnsi="宋体" w:eastAsia="宋体" w:cs="宋体"/>
          <w:color w:val="auto"/>
          <w:sz w:val="21"/>
          <w:szCs w:val="21"/>
        </w:rPr>
      </w:pPr>
    </w:p>
    <w:p w14:paraId="7A10BB0E">
      <w:pPr>
        <w:pStyle w:val="33"/>
        <w:rPr>
          <w:rFonts w:ascii="宋体" w:hAnsi="宋体" w:eastAsia="宋体" w:cs="宋体"/>
          <w:color w:val="auto"/>
          <w:sz w:val="21"/>
          <w:szCs w:val="21"/>
        </w:rPr>
      </w:pPr>
    </w:p>
    <w:p w14:paraId="28CA15D9">
      <w:pPr>
        <w:pStyle w:val="33"/>
        <w:rPr>
          <w:rFonts w:ascii="宋体" w:hAnsi="宋体" w:eastAsia="宋体" w:cs="宋体"/>
          <w:color w:val="auto"/>
          <w:sz w:val="21"/>
          <w:szCs w:val="21"/>
        </w:rPr>
      </w:pPr>
    </w:p>
    <w:p w14:paraId="2041453F">
      <w:pPr>
        <w:pStyle w:val="33"/>
        <w:rPr>
          <w:rFonts w:ascii="宋体" w:hAnsi="宋体" w:eastAsia="宋体" w:cs="宋体"/>
          <w:color w:val="auto"/>
          <w:sz w:val="21"/>
          <w:szCs w:val="21"/>
        </w:rPr>
      </w:pPr>
    </w:p>
    <w:p w14:paraId="6D6335DF">
      <w:pPr>
        <w:pStyle w:val="33"/>
        <w:rPr>
          <w:rFonts w:ascii="宋体" w:hAnsi="宋体" w:eastAsia="宋体" w:cs="宋体"/>
          <w:color w:val="auto"/>
          <w:sz w:val="21"/>
          <w:szCs w:val="21"/>
        </w:rPr>
      </w:pPr>
    </w:p>
    <w:p w14:paraId="5345FB31">
      <w:pPr>
        <w:pStyle w:val="33"/>
        <w:rPr>
          <w:rFonts w:ascii="宋体" w:hAnsi="宋体" w:eastAsia="宋体" w:cs="宋体"/>
          <w:color w:val="auto"/>
          <w:sz w:val="21"/>
          <w:szCs w:val="21"/>
        </w:rPr>
      </w:pPr>
    </w:p>
    <w:p w14:paraId="70230220">
      <w:pPr>
        <w:pStyle w:val="33"/>
        <w:rPr>
          <w:rFonts w:ascii="宋体" w:hAnsi="宋体" w:eastAsia="宋体" w:cs="宋体"/>
          <w:color w:val="auto"/>
          <w:sz w:val="21"/>
          <w:szCs w:val="21"/>
        </w:rPr>
      </w:pPr>
    </w:p>
    <w:p w14:paraId="703C206C">
      <w:pPr>
        <w:pStyle w:val="33"/>
        <w:rPr>
          <w:rFonts w:ascii="宋体" w:hAnsi="宋体" w:eastAsia="宋体" w:cs="宋体"/>
          <w:color w:val="auto"/>
          <w:sz w:val="21"/>
          <w:szCs w:val="21"/>
        </w:rPr>
      </w:pPr>
    </w:p>
    <w:p w14:paraId="583E0F8E">
      <w:pPr>
        <w:pStyle w:val="33"/>
        <w:rPr>
          <w:rFonts w:ascii="宋体" w:hAnsi="宋体" w:eastAsia="宋体" w:cs="宋体"/>
          <w:color w:val="auto"/>
          <w:sz w:val="21"/>
          <w:szCs w:val="21"/>
        </w:rPr>
      </w:pPr>
    </w:p>
    <w:p w14:paraId="284BE39F">
      <w:pPr>
        <w:pStyle w:val="33"/>
        <w:rPr>
          <w:rFonts w:ascii="宋体" w:hAnsi="宋体" w:eastAsia="宋体" w:cs="宋体"/>
          <w:color w:val="auto"/>
          <w:sz w:val="21"/>
          <w:szCs w:val="21"/>
        </w:rPr>
      </w:pPr>
    </w:p>
    <w:p w14:paraId="5A39DBD3">
      <w:pPr>
        <w:pStyle w:val="33"/>
        <w:rPr>
          <w:rFonts w:ascii="宋体" w:hAnsi="宋体" w:eastAsia="宋体" w:cs="宋体"/>
          <w:color w:val="auto"/>
          <w:sz w:val="21"/>
          <w:szCs w:val="21"/>
        </w:rPr>
      </w:pPr>
    </w:p>
    <w:p w14:paraId="2149AA9D">
      <w:pPr>
        <w:pStyle w:val="33"/>
        <w:rPr>
          <w:rFonts w:ascii="宋体" w:hAnsi="宋体" w:eastAsia="宋体" w:cs="宋体"/>
          <w:color w:val="auto"/>
          <w:sz w:val="21"/>
          <w:szCs w:val="21"/>
        </w:rPr>
      </w:pPr>
    </w:p>
    <w:p w14:paraId="71156CDD">
      <w:pPr>
        <w:pStyle w:val="33"/>
        <w:rPr>
          <w:rFonts w:ascii="宋体" w:hAnsi="宋体" w:eastAsia="宋体" w:cs="宋体"/>
          <w:color w:val="auto"/>
          <w:sz w:val="21"/>
          <w:szCs w:val="21"/>
        </w:rPr>
      </w:pPr>
    </w:p>
    <w:p w14:paraId="0F3E2D82">
      <w:pPr>
        <w:pStyle w:val="33"/>
        <w:rPr>
          <w:rFonts w:ascii="宋体" w:hAnsi="宋体" w:eastAsia="宋体" w:cs="宋体"/>
          <w:color w:val="auto"/>
          <w:sz w:val="21"/>
          <w:szCs w:val="21"/>
        </w:rPr>
      </w:pPr>
    </w:p>
    <w:p w14:paraId="62B5C087">
      <w:pPr>
        <w:spacing w:line="360" w:lineRule="auto"/>
        <w:jc w:val="left"/>
        <w:rPr>
          <w:rFonts w:ascii="宋体" w:hAnsi="宋体" w:eastAsia="宋体" w:cs="宋体"/>
          <w:b/>
          <w:bCs/>
          <w:color w:val="auto"/>
          <w:sz w:val="21"/>
          <w:szCs w:val="21"/>
        </w:rPr>
      </w:pPr>
      <w:r>
        <w:rPr>
          <w:rFonts w:hint="eastAsia" w:ascii="宋体" w:hAnsi="宋体" w:eastAsia="宋体" w:cs="宋体"/>
          <w:b/>
          <w:bCs/>
          <w:color w:val="auto"/>
          <w:sz w:val="21"/>
          <w:szCs w:val="21"/>
        </w:rPr>
        <w:t>附件：</w:t>
      </w:r>
    </w:p>
    <w:p w14:paraId="6432A94E">
      <w:pPr>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工程建设项目廉政责任书</w:t>
      </w:r>
    </w:p>
    <w:p w14:paraId="630F9EA4">
      <w:pPr>
        <w:spacing w:line="360" w:lineRule="auto"/>
        <w:jc w:val="left"/>
        <w:rPr>
          <w:rFonts w:ascii="宋体" w:hAnsi="宋体" w:eastAsia="宋体" w:cs="宋体"/>
          <w:color w:val="auto"/>
          <w:sz w:val="21"/>
          <w:szCs w:val="21"/>
        </w:rPr>
      </w:pPr>
    </w:p>
    <w:p w14:paraId="0B951D98">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工程项目名称：</w:t>
      </w:r>
      <w:r>
        <w:rPr>
          <w:rFonts w:hint="eastAsia" w:ascii="宋体" w:hAnsi="宋体" w:eastAsia="宋体" w:cs="宋体"/>
          <w:color w:val="auto"/>
          <w:sz w:val="21"/>
          <w:szCs w:val="21"/>
          <w:lang w:eastAsia="zh-CN"/>
        </w:rPr>
        <w:t>北城办事处改造工程</w:t>
      </w:r>
    </w:p>
    <w:p w14:paraId="3FB52563">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工程项目地址：</w:t>
      </w:r>
      <w:r>
        <w:rPr>
          <w:rFonts w:hint="eastAsia" w:ascii="宋体" w:hAnsi="宋体" w:eastAsia="宋体" w:cs="宋体"/>
          <w:color w:val="auto"/>
          <w:sz w:val="21"/>
          <w:szCs w:val="21"/>
          <w:lang w:eastAsia="zh-CN"/>
        </w:rPr>
        <w:t>黄岩区北城街道</w:t>
      </w:r>
    </w:p>
    <w:p w14:paraId="75C79334">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建设单位（甲方）：</w:t>
      </w:r>
      <w:r>
        <w:rPr>
          <w:rFonts w:hint="eastAsia" w:ascii="宋体" w:hAnsi="宋体" w:eastAsia="宋体" w:cs="宋体"/>
          <w:color w:val="auto"/>
          <w:sz w:val="21"/>
          <w:szCs w:val="21"/>
          <w:lang w:eastAsia="zh-CN"/>
        </w:rPr>
        <w:t>台州市黄岩区人民政府北城街道办事处</w:t>
      </w:r>
    </w:p>
    <w:p w14:paraId="5F828158">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施工单位（乙方）：</w:t>
      </w:r>
    </w:p>
    <w:p w14:paraId="7F756815">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D79BDD3">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第一条 甲乙双方的责任</w:t>
      </w:r>
    </w:p>
    <w:p w14:paraId="23B522B8">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（一）应严格遵守国家关于市场准入、项目招标投标、工程建设、施工安装和市场活动等有关法律、法规，相关政策，以及廉政建设的各项规定。</w:t>
      </w:r>
    </w:p>
    <w:p w14:paraId="1F2374F4">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（二）严格执行建设工程项目承发包合同文件，自觉按合同办事。</w:t>
      </w:r>
    </w:p>
    <w:p w14:paraId="4AC00BDC">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（三）业务活动必须坚持公开、公平、公正、诚信、透明的原则（除法律法规另有规定者外），不得为获取不正当的利益，损害国家、集体和对方利益，不得违反工程建设管理、施工安装的规章制度。</w:t>
      </w:r>
    </w:p>
    <w:p w14:paraId="14F8C2E9">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（四）发现对方在业务活动中有违规、违纪、违法行为的，应及时提醒对方，情节严重的，应向其上级主管部门或纪检监察、司法等有关机关举报。</w:t>
      </w:r>
    </w:p>
    <w:p w14:paraId="1CBAEE7C">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第二条 甲方的责任</w:t>
      </w:r>
    </w:p>
    <w:p w14:paraId="4CE97D93">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甲方的领导和从事该建设工程项目的工作人员，在工程建设的事前、事中、事后应遵守以下规定：</w:t>
      </w:r>
    </w:p>
    <w:p w14:paraId="71B7FEE0">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（一）不准向乙方和相关单位索要或接受回扣、礼金、有价证券、贵重物品和好处费、感谢费等。</w:t>
      </w:r>
    </w:p>
    <w:p w14:paraId="1AD646BA">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（二）不准在乙方和相关单位报销任何应由甲方或个人支付的费用。</w:t>
      </w:r>
    </w:p>
    <w:p w14:paraId="18B2EBAB">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（三）不准要求、暗示和接受乙方和相关单位为个人装修住房、婚丧嫁娶、配偶子女的工作安排以及出国（境）、旅游等提供方便。</w:t>
      </w:r>
    </w:p>
    <w:p w14:paraId="71DCF5D3">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（四）不准参加有可能影响公正执行公务的乙方和相关单位的宴请和健身、娱乐等活动。</w:t>
      </w:r>
    </w:p>
    <w:p w14:paraId="17BFCF57">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93E757F">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第三条 乙方的责任</w:t>
      </w:r>
    </w:p>
    <w:p w14:paraId="760F642B">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应与甲方保持正常的业务交往，按照有关法律法规和程序开展业务工作，严格执行工程建设的有关方针、政策，尤其是有关建筑施工安装的强制性标准和规范，并遵守以下规定：</w:t>
      </w:r>
    </w:p>
    <w:p w14:paraId="01415491">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（一）不准以任何理由向甲方、相关单位及其工作人员索要、接受或赠送礼金、有价证券、贵重物品和回扣、好处费、感谢费等。</w:t>
      </w:r>
    </w:p>
    <w:p w14:paraId="1DFF3ACE">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（二）不准以任何理由为甲方和相关单位报销应由对方或个人支付的费用。</w:t>
      </w:r>
    </w:p>
    <w:p w14:paraId="17B9C7DE">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（三）不准接受或暗示为甲方、相关单位或个人装修住房、婚丧嫁娶、配偶子女的工作安排以及出国（境）、旅游等提供方便。</w:t>
      </w:r>
    </w:p>
    <w:p w14:paraId="4C2E5AF3">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（四）不准以任何理由为甲方、相关单位或个人组织有可能影响公正执行公务的宴请、健身、娱乐等活动。</w:t>
      </w:r>
    </w:p>
    <w:p w14:paraId="580B9FCF">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第四条 违约责任</w:t>
      </w:r>
    </w:p>
    <w:p w14:paraId="2F3AACAD">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7525C06">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5E9FEF1">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第五条 本责任书作为施工合同的附件，与工程施工合同具有同等法律效力。经双方签署后立即生效。</w:t>
      </w:r>
    </w:p>
    <w:p w14:paraId="04FEE972">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第六条 本责任书的有效期为双方签署之日起至该工程项目竣工验收合格时止。</w:t>
      </w:r>
    </w:p>
    <w:p w14:paraId="610B4CE7">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第七条 本责任书一式四份，由甲乙双方各执一份，送交甲乙双方的监督单位各一份。</w:t>
      </w:r>
    </w:p>
    <w:p w14:paraId="0F832FDB">
      <w:pPr>
        <w:spacing w:line="360" w:lineRule="auto"/>
        <w:jc w:val="left"/>
        <w:rPr>
          <w:rFonts w:ascii="宋体" w:hAnsi="宋体" w:eastAsia="宋体" w:cs="宋体"/>
          <w:color w:val="auto"/>
          <w:sz w:val="21"/>
          <w:szCs w:val="21"/>
        </w:rPr>
      </w:pPr>
    </w:p>
    <w:p w14:paraId="7E6A2FF4">
      <w:pPr>
        <w:spacing w:line="360" w:lineRule="auto"/>
        <w:jc w:val="left"/>
        <w:rPr>
          <w:rFonts w:ascii="宋体" w:hAnsi="宋体" w:eastAsia="宋体" w:cs="宋体"/>
          <w:color w:val="auto"/>
          <w:sz w:val="21"/>
          <w:szCs w:val="21"/>
        </w:rPr>
      </w:pPr>
    </w:p>
    <w:p w14:paraId="4DB21B36">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甲方单位：（盖章）　　　　　　　　                　　　乙方单位：（盖章）</w:t>
      </w:r>
    </w:p>
    <w:p w14:paraId="55D08907">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法定代表人：　　　　　　　　　               　　　　　法定代表人：</w:t>
      </w:r>
    </w:p>
    <w:p w14:paraId="7FA60502">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地址：　　　　　　　　　　　　　               　　　　地址：</w:t>
      </w:r>
    </w:p>
    <w:p w14:paraId="16181E70">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电话：　　　　　　　　　　　　　　　               　　电话：</w:t>
      </w:r>
    </w:p>
    <w:p w14:paraId="6FCEDEA4">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年　月　日　　　　　　　　　　　　　               　　年　月　日</w:t>
      </w:r>
    </w:p>
    <w:p w14:paraId="0F67E9EA">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甲方监督单位（盖章）　　　　　　　　　               　乙方监督单位（盖章）</w:t>
      </w:r>
    </w:p>
    <w:p w14:paraId="3DCD882C">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年　月　日　　　　　　　　　　　　　　               　年　月　日</w:t>
      </w:r>
    </w:p>
    <w:p w14:paraId="51BDD6DC">
      <w:pPr>
        <w:spacing w:line="360" w:lineRule="auto"/>
        <w:jc w:val="left"/>
        <w:rPr>
          <w:rFonts w:ascii="宋体" w:hAnsi="宋体" w:eastAsia="宋体" w:cs="宋体"/>
          <w:color w:val="auto"/>
          <w:sz w:val="21"/>
          <w:szCs w:val="21"/>
        </w:rPr>
        <w:sectPr>
          <w:foot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537D0947">
      <w:pPr>
        <w:spacing w:line="360" w:lineRule="auto"/>
        <w:jc w:val="left"/>
        <w:rPr>
          <w:rFonts w:ascii="宋体" w:hAnsi="宋体" w:eastAsia="宋体" w:cs="宋体"/>
          <w:b/>
          <w:bCs/>
          <w:color w:val="auto"/>
          <w:sz w:val="21"/>
          <w:szCs w:val="21"/>
        </w:rPr>
      </w:pPr>
      <w:r>
        <w:rPr>
          <w:rFonts w:hint="eastAsia" w:ascii="宋体" w:hAnsi="宋体" w:eastAsia="宋体" w:cs="宋体"/>
          <w:b/>
          <w:bCs/>
          <w:color w:val="auto"/>
          <w:sz w:val="21"/>
          <w:szCs w:val="21"/>
        </w:rPr>
        <w:t>附件： 建筑工程农民工工资专用账户资金托管协议</w:t>
      </w:r>
    </w:p>
    <w:p w14:paraId="7729264E">
      <w:pPr>
        <w:spacing w:line="360" w:lineRule="auto"/>
        <w:jc w:val="left"/>
        <w:rPr>
          <w:rFonts w:ascii="宋体" w:hAnsi="宋体" w:eastAsia="宋体" w:cs="宋体"/>
          <w:b/>
          <w:bCs/>
          <w:color w:val="auto"/>
          <w:sz w:val="21"/>
          <w:szCs w:val="21"/>
        </w:rPr>
      </w:pPr>
      <w:r>
        <w:rPr>
          <w:rFonts w:hint="eastAsia" w:ascii="宋体" w:hAnsi="宋体" w:eastAsia="宋体" w:cs="宋体"/>
          <w:b/>
          <w:bCs/>
          <w:color w:val="auto"/>
          <w:sz w:val="21"/>
          <w:szCs w:val="21"/>
        </w:rPr>
        <w:t>甲方（建设单位）：</w:t>
      </w:r>
    </w:p>
    <w:p w14:paraId="2B24F59B">
      <w:pPr>
        <w:spacing w:line="360" w:lineRule="auto"/>
        <w:jc w:val="left"/>
        <w:rPr>
          <w:rFonts w:ascii="宋体" w:hAnsi="宋体" w:eastAsia="宋体" w:cs="宋体"/>
          <w:b/>
          <w:bCs/>
          <w:color w:val="auto"/>
          <w:sz w:val="21"/>
          <w:szCs w:val="21"/>
        </w:rPr>
      </w:pPr>
      <w:r>
        <w:rPr>
          <w:rFonts w:hint="eastAsia" w:ascii="宋体" w:hAnsi="宋体" w:eastAsia="宋体" w:cs="宋体"/>
          <w:b/>
          <w:bCs/>
          <w:color w:val="auto"/>
          <w:sz w:val="21"/>
          <w:szCs w:val="21"/>
        </w:rPr>
        <w:t>乙方（施工单位）：</w:t>
      </w:r>
    </w:p>
    <w:p w14:paraId="7431AF6D">
      <w:pPr>
        <w:spacing w:line="360" w:lineRule="auto"/>
        <w:jc w:val="left"/>
        <w:rPr>
          <w:rFonts w:ascii="宋体" w:hAnsi="宋体" w:eastAsia="宋体" w:cs="宋体"/>
          <w:b/>
          <w:bCs/>
          <w:color w:val="auto"/>
          <w:sz w:val="21"/>
          <w:szCs w:val="21"/>
        </w:rPr>
      </w:pPr>
      <w:r>
        <w:rPr>
          <w:rFonts w:hint="eastAsia" w:ascii="宋体" w:hAnsi="宋体" w:eastAsia="宋体" w:cs="宋体"/>
          <w:b/>
          <w:bCs/>
          <w:color w:val="auto"/>
          <w:sz w:val="21"/>
          <w:szCs w:val="21"/>
        </w:rPr>
        <w:t>丙方（银行）：</w:t>
      </w:r>
    </w:p>
    <w:p w14:paraId="7EB0A561">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根据《浙江省企业工资支付管理办法》，为保证建筑工程农民工工资专用账户（以下简称专户）资金专款专用及农民工工资按月支付，甲、乙双方委托丙方为本项目专户资金监管人，为项目专户资金提供管理，并按照本协议约定履行相关信息披露等服务，甲、乙、丙三方经友好协商，达成以下协议，并共同遵守。</w:t>
      </w:r>
    </w:p>
    <w:p w14:paraId="6479473D">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第一章 专户设立及管理</w:t>
      </w:r>
    </w:p>
    <w:p w14:paraId="76F25484">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第一条 专户的设立</w:t>
      </w:r>
    </w:p>
    <w:p w14:paraId="774505E3">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乙方须在丙方处设立××建筑公司××项目农民工工资   专户，用于××项目工程农民工工资的发放，不得擅自动用专户资金。</w:t>
      </w:r>
    </w:p>
    <w:p w14:paraId="56082F6B">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第二条 专户的管理</w:t>
      </w:r>
    </w:p>
    <w:p w14:paraId="3B33CC5D">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工程建设期间，丙方负责对专户进行管理。丙方需根据本协议约定的条件办理资金支付。</w:t>
      </w:r>
    </w:p>
    <w:p w14:paraId="6556A6CC">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第二章 托管职责、期限</w:t>
      </w:r>
    </w:p>
    <w:p w14:paraId="6467A956">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第三条 丙方作为受托银行，应履行以下职责：</w:t>
      </w:r>
    </w:p>
    <w:p w14:paraId="2E97D4F0">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（一）设立专户，保管托管资金，确保资金安全。</w:t>
      </w:r>
    </w:p>
    <w:p w14:paraId="3A1F4B75">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（二）专户首笔由甲方划入的工资性工程预付款（额度为工资性工程款的1%），在该工程主体结构封顶验收合格后抵扣一半，剩余部分在工程竣工验收合格备案后从工程款中抵扣。</w:t>
      </w:r>
    </w:p>
    <w:p w14:paraId="745E5DDA">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（三）及时向甲方、乙方披露受托资金的相关信息，每月12日前向甲、乙双方提供受托资金流向信息。</w:t>
      </w:r>
    </w:p>
    <w:p w14:paraId="2FDCD976">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第四条 协议期限</w:t>
      </w:r>
    </w:p>
    <w:p w14:paraId="3DBF05A3">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丙方对专户内资金履行监督职责的期限自资金划入受托监管账户之日起至收到甲方、乙方开具的并经建设主管部门同意的“关于撤销   工程农民工工资专用账户的函”为止。</w:t>
      </w:r>
    </w:p>
    <w:p w14:paraId="3B68B836">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第三章 资金托管应提供的资料</w:t>
      </w:r>
    </w:p>
    <w:p w14:paraId="2FA3ED1B">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第五条 乙方须向丙方提供《建筑业企业劳务用工劳动合同》和经监理单位、建设单位审核确定的每月农民工工资清单审核表。</w:t>
      </w:r>
    </w:p>
    <w:p w14:paraId="1AB5E2C2">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第四章 托管资金收付</w:t>
      </w:r>
    </w:p>
    <w:p w14:paraId="02234E49">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第六条 受托资金存入</w:t>
      </w:r>
    </w:p>
    <w:p w14:paraId="6236AB8B">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根据施工合同约定，甲方每月将工资性工程进度款划入约定的托管账户，丙方确认资金到账后对账户资金履行管理职责。</w:t>
      </w:r>
    </w:p>
    <w:p w14:paraId="46D7AD1F">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第七条 受托资金拨付</w:t>
      </w:r>
    </w:p>
    <w:p w14:paraId="3CF7A4A6">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乙方委托丙方代发农民工工资，代发的农民工个人银行卡申请资料由乙方提供，其真实性由乙方负责。每月月底前，乙方负责将监理单位审核并经建设单位确认后的农民工工资清单报丙方，由丙方从专户（在工资性工程进度款拨付累计额度内）直接划拨至农民工个人银行卡上。工资清单的真实性及准确性由乙方负责。</w:t>
      </w:r>
    </w:p>
    <w:p w14:paraId="6E0BE66D">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第八条农民工工资监管</w:t>
      </w:r>
    </w:p>
    <w:p w14:paraId="3DD6914A">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专户资金不得挪作他用，一旦发生乙方拖欠农民工工资的情况，经工程所在地劳动监察部门核实并出具相关证明，丙方可直接从“农民工工资专用账户”余额（工资性工程预付款）中划拨款项，用于支付所欠农民工工资。同时乙方不超过10个工作日内补足该部分工资款。</w:t>
      </w:r>
    </w:p>
    <w:p w14:paraId="7CB2C6C8">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第五章 协议生效与终止</w:t>
      </w:r>
    </w:p>
    <w:p w14:paraId="412A3364">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第九条本协议经甲、乙、丙三方法定代表人或其委托人签字并加盖法人公章之日起生效。丙方收到甲方、乙方开具的并经建设主管部门同意的“关于撤销   工程农民工工资专用账户的函”为止，该协议终止。</w:t>
      </w:r>
    </w:p>
    <w:p w14:paraId="42303A57">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第六章 违约责任和免责条件</w:t>
      </w:r>
    </w:p>
    <w:p w14:paraId="3149E199">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第十条 在工程建设过程中，甲方未及时拨付工资性工程款，乙方提供虚假资料挪用、套用资金的，按《浙江省企业工资支付管理办法》等相关规定追究责任。</w:t>
      </w:r>
    </w:p>
    <w:p w14:paraId="46CFA355">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第十一条 丙方未按照合同约定的支付条件办理资金支付而形成的直接损失，丙方应承担赔偿责任。专户出现被国家有权机关冻结、扣划的，丙方不承担责任。</w:t>
      </w:r>
    </w:p>
    <w:p w14:paraId="7E6429B2">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第十二条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0BDE82DC">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第七章 其他</w:t>
      </w:r>
    </w:p>
    <w:p w14:paraId="1F025BA9">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第十三条 除法律、法规规定，以及因本工程专户资金托管业务的需要和三方特别约定外，未经三方同意，协议任何一方不得向外提供涉及甲、乙、丙方商业秘密的资料。</w:t>
      </w:r>
    </w:p>
    <w:p w14:paraId="75ED287D">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第十四条 协议的变更。本协议生效后，甲、乙、丙三方中任何一方需要变更协议条款时，应经三方协商一致，并签订补充协议，补充协议与本协议具有同等法律效力。</w:t>
      </w:r>
    </w:p>
    <w:p w14:paraId="2FC6E74B">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第十五条 本协议一式六份，甲方、乙方、丙方各执贰份，每份具有同等法律效力。</w:t>
      </w:r>
    </w:p>
    <w:p w14:paraId="426535F2">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甲方（签章）：               法定代表人（签字）：</w:t>
      </w:r>
    </w:p>
    <w:p w14:paraId="1296C0EA">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签订日期：   年  月  日</w:t>
      </w:r>
    </w:p>
    <w:p w14:paraId="5C1E8F88">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乙方（签章）：               法定代表人（签字）：</w:t>
      </w:r>
    </w:p>
    <w:p w14:paraId="4E481D4B">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签字日期：   年  月  日</w:t>
      </w:r>
    </w:p>
    <w:p w14:paraId="1EE0B8C3">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丙方（签章）：               法定代表人（签字）：</w:t>
      </w:r>
    </w:p>
    <w:p w14:paraId="662DA7C1">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签字日期：   年  月  日</w:t>
      </w:r>
    </w:p>
    <w:p w14:paraId="2B67804B">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注：在工程项目签订合同前，到我县行政区域内的商业银行设立“农民工工资支付专用账户”（以下简称“专户”），并与建设单位、开户银行签订《建筑工程农民工工资专用账户资金托管协议》。</w:t>
      </w:r>
    </w:p>
    <w:p w14:paraId="03A01114">
      <w:pPr>
        <w:spacing w:line="360" w:lineRule="auto"/>
        <w:jc w:val="left"/>
        <w:rPr>
          <w:rFonts w:ascii="宋体" w:hAnsi="宋体" w:eastAsia="宋体" w:cs="宋体"/>
          <w:color w:val="auto"/>
          <w:sz w:val="21"/>
          <w:szCs w:val="21"/>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30B6B40F">
      <w:pPr>
        <w:spacing w:line="400" w:lineRule="exact"/>
        <w:ind w:firstLine="2711" w:firstLineChars="900"/>
        <w:rPr>
          <w:rFonts w:ascii="宋体" w:hAnsi="宋体" w:eastAsia="宋体" w:cs="宋体"/>
          <w:b/>
          <w:bCs/>
          <w:color w:val="auto"/>
          <w:sz w:val="30"/>
          <w:szCs w:val="30"/>
        </w:rPr>
      </w:pPr>
      <w:r>
        <w:rPr>
          <w:rFonts w:hint="eastAsia" w:ascii="宋体" w:hAnsi="宋体" w:eastAsia="宋体" w:cs="宋体"/>
          <w:b/>
          <w:bCs/>
          <w:color w:val="auto"/>
          <w:sz w:val="30"/>
          <w:szCs w:val="30"/>
        </w:rPr>
        <w:t>第六部分　磋商响应文件格式</w:t>
      </w:r>
      <w:bookmarkEnd w:id="50"/>
      <w:bookmarkEnd w:id="51"/>
      <w:bookmarkStart w:id="532" w:name="_Toc205087913"/>
      <w:bookmarkStart w:id="533" w:name="_Toc205087903"/>
      <w:bookmarkStart w:id="534" w:name="_Toc194223719"/>
      <w:bookmarkStart w:id="535" w:name="_Toc295986635"/>
      <w:bookmarkStart w:id="536" w:name="_Toc240724400"/>
      <w:bookmarkStart w:id="537" w:name="_Toc199314545"/>
      <w:bookmarkStart w:id="538" w:name="_Toc199314553"/>
    </w:p>
    <w:p w14:paraId="08E32AAB">
      <w:pPr>
        <w:pStyle w:val="34"/>
        <w:rPr>
          <w:color w:val="auto"/>
        </w:rPr>
      </w:pPr>
    </w:p>
    <w:p w14:paraId="5EB19636">
      <w:pPr>
        <w:pStyle w:val="2"/>
        <w:rPr>
          <w:color w:val="auto"/>
        </w:rPr>
      </w:pPr>
    </w:p>
    <w:p w14:paraId="7B0AFF3B">
      <w:pPr>
        <w:pStyle w:val="19"/>
        <w:rPr>
          <w:color w:val="auto"/>
        </w:rPr>
      </w:pPr>
    </w:p>
    <w:p w14:paraId="62A31B5E">
      <w:pPr>
        <w:rPr>
          <w:color w:val="auto"/>
        </w:rPr>
      </w:pPr>
    </w:p>
    <w:p w14:paraId="295592EB">
      <w:pPr>
        <w:pStyle w:val="34"/>
        <w:rPr>
          <w:color w:val="auto"/>
        </w:rPr>
      </w:pPr>
    </w:p>
    <w:p w14:paraId="134938F6">
      <w:pPr>
        <w:pStyle w:val="13"/>
        <w:adjustRightInd w:val="0"/>
        <w:snapToGrid w:val="0"/>
        <w:spacing w:before="120" w:after="120"/>
        <w:rPr>
          <w:rFonts w:hAnsi="宋体" w:eastAsia="宋体" w:cs="宋体"/>
          <w:b/>
          <w:bCs/>
          <w:color w:val="auto"/>
          <w:sz w:val="24"/>
          <w:szCs w:val="24"/>
        </w:rPr>
      </w:pPr>
    </w:p>
    <w:p w14:paraId="0D1E7BDB">
      <w:pPr>
        <w:pStyle w:val="5"/>
        <w:spacing w:beforeLines="100" w:line="360" w:lineRule="auto"/>
        <w:jc w:val="center"/>
        <w:rPr>
          <w:rFonts w:ascii="宋体" w:hAnsi="宋体" w:eastAsia="宋体"/>
          <w:bCs w:val="0"/>
          <w:color w:val="auto"/>
          <w:lang w:val="zh-CN"/>
        </w:rPr>
      </w:pPr>
      <w:bookmarkStart w:id="539" w:name="_Toc528927455"/>
      <w:bookmarkStart w:id="540" w:name="_Toc528578413"/>
      <w:r>
        <w:rPr>
          <w:rFonts w:hint="eastAsia" w:ascii="宋体" w:hAnsi="宋体" w:eastAsia="宋体"/>
          <w:bCs w:val="0"/>
          <w:color w:val="auto"/>
          <w:lang w:val="zh-CN"/>
        </w:rPr>
        <w:t>1、资格证明文件格式</w:t>
      </w:r>
      <w:bookmarkEnd w:id="539"/>
      <w:bookmarkEnd w:id="540"/>
    </w:p>
    <w:p w14:paraId="0B44DE61">
      <w:pPr>
        <w:spacing w:before="100" w:beforeAutospacing="1" w:line="360" w:lineRule="auto"/>
        <w:jc w:val="center"/>
        <w:rPr>
          <w:rFonts w:ascii="宋体" w:hAnsi="宋体"/>
          <w:b/>
          <w:bCs/>
          <w:color w:val="auto"/>
          <w:sz w:val="32"/>
          <w:szCs w:val="32"/>
        </w:rPr>
      </w:pPr>
      <w:r>
        <w:rPr>
          <w:rFonts w:hint="eastAsia" w:ascii="宋体" w:hAnsi="宋体"/>
          <w:b/>
          <w:bCs/>
          <w:color w:val="auto"/>
          <w:sz w:val="32"/>
          <w:szCs w:val="32"/>
        </w:rPr>
        <w:t>目  录</w:t>
      </w:r>
    </w:p>
    <w:p w14:paraId="1432D643">
      <w:pPr>
        <w:pStyle w:val="13"/>
        <w:adjustRightInd w:val="0"/>
        <w:snapToGrid w:val="0"/>
        <w:spacing w:before="120" w:after="120"/>
        <w:ind w:firstLine="1200" w:firstLineChars="500"/>
        <w:rPr>
          <w:rFonts w:hAnsi="宋体" w:eastAsia="宋体" w:cs="宋体"/>
          <w:b/>
          <w:bCs/>
          <w:color w:val="auto"/>
          <w:sz w:val="24"/>
          <w:szCs w:val="24"/>
        </w:rPr>
      </w:pPr>
      <w:r>
        <w:rPr>
          <w:rFonts w:hint="eastAsia" w:hAnsi="宋体"/>
          <w:color w:val="auto"/>
          <w:sz w:val="24"/>
        </w:rPr>
        <w:t>（按照“第三部分 磋商须知”有关资格证明文件组成要求编排）</w:t>
      </w:r>
    </w:p>
    <w:p w14:paraId="71E8C134">
      <w:pPr>
        <w:pStyle w:val="13"/>
        <w:adjustRightInd w:val="0"/>
        <w:snapToGrid w:val="0"/>
        <w:spacing w:before="120" w:after="120"/>
        <w:rPr>
          <w:rFonts w:hAnsi="宋体" w:eastAsia="宋体" w:cs="宋体"/>
          <w:b/>
          <w:bCs/>
          <w:color w:val="auto"/>
          <w:sz w:val="24"/>
          <w:szCs w:val="24"/>
        </w:rPr>
      </w:pPr>
    </w:p>
    <w:p w14:paraId="33167B9D">
      <w:pPr>
        <w:pStyle w:val="13"/>
        <w:adjustRightInd w:val="0"/>
        <w:snapToGrid w:val="0"/>
        <w:spacing w:before="120" w:after="120"/>
        <w:rPr>
          <w:rFonts w:hAnsi="宋体" w:eastAsia="宋体" w:cs="宋体"/>
          <w:b/>
          <w:bCs/>
          <w:color w:val="auto"/>
          <w:sz w:val="24"/>
          <w:szCs w:val="24"/>
        </w:rPr>
      </w:pPr>
    </w:p>
    <w:p w14:paraId="32D38E98">
      <w:pPr>
        <w:pStyle w:val="14"/>
        <w:ind w:left="9000"/>
        <w:rPr>
          <w:rFonts w:ascii="宋体" w:hAnsi="宋体" w:eastAsia="宋体" w:cs="宋体"/>
          <w:b/>
          <w:bCs/>
          <w:color w:val="auto"/>
          <w:sz w:val="24"/>
        </w:rPr>
      </w:pPr>
    </w:p>
    <w:p w14:paraId="4C4C2F55">
      <w:pPr>
        <w:rPr>
          <w:rFonts w:ascii="宋体" w:hAnsi="宋体" w:eastAsia="宋体" w:cs="宋体"/>
          <w:b/>
          <w:bCs/>
          <w:color w:val="auto"/>
          <w:sz w:val="24"/>
        </w:rPr>
      </w:pPr>
    </w:p>
    <w:p w14:paraId="1246C31E">
      <w:pPr>
        <w:pStyle w:val="3"/>
        <w:ind w:firstLine="241"/>
        <w:rPr>
          <w:rFonts w:ascii="宋体" w:hAnsi="宋体" w:eastAsia="宋体" w:cs="宋体"/>
          <w:b/>
          <w:bCs/>
          <w:color w:val="auto"/>
          <w:sz w:val="24"/>
          <w:szCs w:val="24"/>
        </w:rPr>
      </w:pPr>
    </w:p>
    <w:p w14:paraId="71480D60">
      <w:pPr>
        <w:pStyle w:val="3"/>
        <w:ind w:firstLine="241"/>
        <w:rPr>
          <w:rFonts w:ascii="宋体" w:hAnsi="宋体" w:eastAsia="宋体" w:cs="宋体"/>
          <w:b/>
          <w:bCs/>
          <w:color w:val="auto"/>
          <w:sz w:val="24"/>
          <w:szCs w:val="24"/>
        </w:rPr>
      </w:pPr>
    </w:p>
    <w:p w14:paraId="77897166">
      <w:pPr>
        <w:pStyle w:val="3"/>
        <w:ind w:firstLine="241"/>
        <w:rPr>
          <w:rFonts w:ascii="宋体" w:hAnsi="宋体" w:eastAsia="宋体" w:cs="宋体"/>
          <w:b/>
          <w:bCs/>
          <w:color w:val="auto"/>
          <w:sz w:val="24"/>
          <w:szCs w:val="24"/>
        </w:rPr>
      </w:pPr>
    </w:p>
    <w:p w14:paraId="3946C579">
      <w:pPr>
        <w:pStyle w:val="3"/>
        <w:ind w:firstLine="241"/>
        <w:rPr>
          <w:rFonts w:ascii="宋体" w:hAnsi="宋体" w:eastAsia="宋体" w:cs="宋体"/>
          <w:b/>
          <w:bCs/>
          <w:color w:val="auto"/>
          <w:sz w:val="24"/>
          <w:szCs w:val="24"/>
        </w:rPr>
      </w:pPr>
    </w:p>
    <w:p w14:paraId="3EB1D81D">
      <w:pPr>
        <w:pStyle w:val="3"/>
        <w:ind w:firstLine="241"/>
        <w:rPr>
          <w:rFonts w:ascii="宋体" w:hAnsi="宋体" w:eastAsia="宋体" w:cs="宋体"/>
          <w:b/>
          <w:bCs/>
          <w:color w:val="auto"/>
          <w:sz w:val="24"/>
          <w:szCs w:val="24"/>
        </w:rPr>
      </w:pPr>
    </w:p>
    <w:p w14:paraId="09BE5AB9">
      <w:pPr>
        <w:pStyle w:val="3"/>
        <w:ind w:firstLine="241"/>
        <w:rPr>
          <w:rFonts w:ascii="宋体" w:hAnsi="宋体" w:eastAsia="宋体" w:cs="宋体"/>
          <w:b/>
          <w:bCs/>
          <w:color w:val="auto"/>
          <w:sz w:val="24"/>
          <w:szCs w:val="24"/>
        </w:rPr>
      </w:pPr>
    </w:p>
    <w:p w14:paraId="68020CD9">
      <w:pPr>
        <w:pStyle w:val="3"/>
        <w:ind w:firstLine="241"/>
        <w:rPr>
          <w:rFonts w:ascii="宋体" w:hAnsi="宋体" w:eastAsia="宋体" w:cs="宋体"/>
          <w:b/>
          <w:bCs/>
          <w:color w:val="auto"/>
          <w:sz w:val="24"/>
          <w:szCs w:val="24"/>
        </w:rPr>
      </w:pPr>
    </w:p>
    <w:p w14:paraId="4BC83B42">
      <w:pPr>
        <w:pStyle w:val="13"/>
        <w:adjustRightInd w:val="0"/>
        <w:snapToGrid w:val="0"/>
        <w:spacing w:before="120" w:after="120"/>
        <w:rPr>
          <w:rFonts w:hAnsi="宋体" w:eastAsia="宋体" w:cs="宋体"/>
          <w:b/>
          <w:bCs/>
          <w:color w:val="auto"/>
          <w:sz w:val="24"/>
          <w:szCs w:val="24"/>
        </w:rPr>
      </w:pPr>
    </w:p>
    <w:p w14:paraId="3F7706E4">
      <w:pPr>
        <w:pStyle w:val="14"/>
        <w:ind w:left="9000"/>
        <w:rPr>
          <w:color w:val="auto"/>
        </w:rPr>
      </w:pPr>
    </w:p>
    <w:p w14:paraId="5ED6EF4D">
      <w:pPr>
        <w:rPr>
          <w:color w:val="auto"/>
        </w:rPr>
      </w:pPr>
    </w:p>
    <w:p w14:paraId="7A768A2E">
      <w:pPr>
        <w:pStyle w:val="3"/>
        <w:ind w:firstLine="210"/>
        <w:rPr>
          <w:color w:val="auto"/>
        </w:rPr>
      </w:pPr>
    </w:p>
    <w:p w14:paraId="037A5C62">
      <w:pPr>
        <w:pStyle w:val="3"/>
        <w:ind w:firstLine="210"/>
        <w:rPr>
          <w:color w:val="auto"/>
        </w:rPr>
      </w:pPr>
    </w:p>
    <w:p w14:paraId="0CB7BCB6">
      <w:pPr>
        <w:pStyle w:val="3"/>
        <w:ind w:firstLine="210"/>
        <w:rPr>
          <w:color w:val="auto"/>
        </w:rPr>
      </w:pPr>
    </w:p>
    <w:p w14:paraId="52FFD63C">
      <w:pPr>
        <w:pStyle w:val="3"/>
        <w:ind w:firstLine="210"/>
        <w:rPr>
          <w:color w:val="auto"/>
        </w:rPr>
      </w:pPr>
    </w:p>
    <w:p w14:paraId="2279F8DC">
      <w:pPr>
        <w:pStyle w:val="3"/>
        <w:ind w:firstLine="210"/>
        <w:rPr>
          <w:color w:val="auto"/>
        </w:rPr>
      </w:pPr>
    </w:p>
    <w:p w14:paraId="10138D84">
      <w:pPr>
        <w:pStyle w:val="3"/>
        <w:ind w:firstLine="210"/>
        <w:rPr>
          <w:color w:val="auto"/>
        </w:rPr>
      </w:pPr>
    </w:p>
    <w:p w14:paraId="53058AB0">
      <w:pPr>
        <w:pStyle w:val="3"/>
        <w:ind w:firstLine="210"/>
        <w:rPr>
          <w:color w:val="auto"/>
        </w:rPr>
      </w:pPr>
    </w:p>
    <w:p w14:paraId="446176D5">
      <w:pPr>
        <w:pStyle w:val="3"/>
        <w:ind w:firstLine="210"/>
        <w:rPr>
          <w:color w:val="auto"/>
        </w:rPr>
      </w:pPr>
    </w:p>
    <w:p w14:paraId="72A5BD99">
      <w:pPr>
        <w:pStyle w:val="25"/>
        <w:rPr>
          <w:color w:val="auto"/>
        </w:rPr>
      </w:pPr>
    </w:p>
    <w:p w14:paraId="73213269">
      <w:pPr>
        <w:pStyle w:val="3"/>
        <w:ind w:firstLine="210"/>
        <w:rPr>
          <w:color w:val="auto"/>
        </w:rPr>
      </w:pPr>
    </w:p>
    <w:p w14:paraId="2CD8E03F">
      <w:pPr>
        <w:pStyle w:val="3"/>
        <w:ind w:firstLine="210"/>
        <w:rPr>
          <w:color w:val="auto"/>
        </w:rPr>
      </w:pPr>
    </w:p>
    <w:p w14:paraId="11505F3F">
      <w:pPr>
        <w:pStyle w:val="3"/>
        <w:ind w:firstLine="210"/>
        <w:rPr>
          <w:color w:val="auto"/>
        </w:rPr>
      </w:pPr>
    </w:p>
    <w:p w14:paraId="6839E154">
      <w:pPr>
        <w:pStyle w:val="3"/>
        <w:ind w:firstLine="210"/>
        <w:rPr>
          <w:color w:val="auto"/>
        </w:rPr>
      </w:pPr>
    </w:p>
    <w:p w14:paraId="6FDCC052">
      <w:pPr>
        <w:pStyle w:val="3"/>
        <w:ind w:firstLine="210"/>
        <w:rPr>
          <w:color w:val="auto"/>
        </w:rPr>
      </w:pPr>
    </w:p>
    <w:p w14:paraId="7C4A6F23">
      <w:pPr>
        <w:rPr>
          <w:color w:val="auto"/>
        </w:rPr>
      </w:pPr>
    </w:p>
    <w:p w14:paraId="421B55E3">
      <w:pPr>
        <w:pStyle w:val="3"/>
        <w:ind w:firstLine="0" w:firstLineChars="0"/>
        <w:rPr>
          <w:color w:val="auto"/>
        </w:rPr>
      </w:pPr>
    </w:p>
    <w:p w14:paraId="69A62FCB">
      <w:pPr>
        <w:pStyle w:val="13"/>
        <w:adjustRightInd w:val="0"/>
        <w:snapToGrid w:val="0"/>
        <w:spacing w:before="120" w:after="120"/>
        <w:rPr>
          <w:rFonts w:hAnsi="宋体" w:eastAsia="宋体" w:cs="宋体"/>
          <w:color w:val="auto"/>
          <w:sz w:val="24"/>
          <w:szCs w:val="24"/>
        </w:rPr>
      </w:pPr>
      <w:r>
        <w:rPr>
          <w:rFonts w:hint="eastAsia" w:hAnsi="宋体" w:eastAsia="宋体" w:cs="宋体"/>
          <w:b/>
          <w:bCs/>
          <w:color w:val="auto"/>
          <w:sz w:val="24"/>
          <w:szCs w:val="24"/>
        </w:rPr>
        <w:t>附件一：</w:t>
      </w:r>
    </w:p>
    <w:p w14:paraId="74694412">
      <w:pPr>
        <w:pStyle w:val="13"/>
        <w:adjustRightInd w:val="0"/>
        <w:snapToGrid w:val="0"/>
        <w:spacing w:before="120" w:after="120"/>
        <w:jc w:val="center"/>
        <w:rPr>
          <w:rFonts w:hAnsi="宋体" w:eastAsia="宋体" w:cs="宋体"/>
          <w:color w:val="auto"/>
          <w:sz w:val="24"/>
          <w:szCs w:val="24"/>
        </w:rPr>
      </w:pPr>
      <w:r>
        <w:rPr>
          <w:rFonts w:hint="eastAsia" w:hAnsi="宋体" w:eastAsia="宋体" w:cs="宋体"/>
          <w:b/>
          <w:bCs/>
          <w:color w:val="auto"/>
          <w:sz w:val="24"/>
          <w:szCs w:val="24"/>
        </w:rPr>
        <w:t>磋商承诺函</w:t>
      </w:r>
    </w:p>
    <w:p w14:paraId="61A4FEB2">
      <w:pPr>
        <w:adjustRightInd w:val="0"/>
        <w:snapToGrid w:val="0"/>
        <w:spacing w:line="360" w:lineRule="auto"/>
        <w:ind w:firstLine="120" w:firstLineChars="50"/>
        <w:rPr>
          <w:rFonts w:ascii="宋体" w:hAnsi="宋体" w:eastAsia="宋体" w:cs="宋体"/>
          <w:color w:val="auto"/>
          <w:sz w:val="24"/>
        </w:rPr>
      </w:pPr>
      <w:r>
        <w:rPr>
          <w:rFonts w:hint="eastAsia" w:ascii="宋体" w:hAnsi="宋体" w:eastAsia="宋体" w:cs="宋体"/>
          <w:color w:val="auto"/>
          <w:sz w:val="24"/>
          <w:u w:val="single"/>
          <w:lang w:eastAsia="zh-CN"/>
        </w:rPr>
        <w:t>台州市黄岩区人民政府北城街道办事处</w:t>
      </w:r>
      <w:r>
        <w:rPr>
          <w:rFonts w:hint="eastAsia" w:ascii="宋体" w:hAnsi="宋体" w:eastAsia="宋体" w:cs="宋体"/>
          <w:color w:val="auto"/>
          <w:sz w:val="24"/>
        </w:rPr>
        <w:t>：</w:t>
      </w:r>
    </w:p>
    <w:p w14:paraId="4C45D8AB">
      <w:pPr>
        <w:pStyle w:val="13"/>
        <w:adjustRightInd w:val="0"/>
        <w:snapToGrid w:val="0"/>
        <w:spacing w:before="120" w:after="120"/>
        <w:ind w:firstLine="720"/>
        <w:rPr>
          <w:rFonts w:hAnsi="宋体" w:eastAsia="宋体" w:cs="宋体"/>
          <w:color w:val="auto"/>
          <w:sz w:val="24"/>
          <w:szCs w:val="24"/>
        </w:rPr>
      </w:pPr>
      <w:r>
        <w:rPr>
          <w:rFonts w:hint="eastAsia" w:hAnsi="宋体" w:eastAsia="宋体" w:cs="宋体"/>
          <w:color w:val="auto"/>
          <w:sz w:val="24"/>
          <w:szCs w:val="24"/>
        </w:rPr>
        <w:t>__________________________(磋商人全称)授权____________________ (全权代表姓名)____________________(职务、职称)为全权代表，参加贵方组织的</w:t>
      </w:r>
      <w:r>
        <w:rPr>
          <w:rFonts w:hint="eastAsia" w:hAnsi="宋体" w:eastAsia="宋体" w:cs="宋体"/>
          <w:color w:val="auto"/>
          <w:sz w:val="24"/>
          <w:u w:val="single"/>
          <w:lang w:eastAsia="zh-CN"/>
        </w:rPr>
        <w:t>北城办事处改造工程</w:t>
      </w:r>
      <w:r>
        <w:rPr>
          <w:rFonts w:hint="eastAsia" w:ascii="宋体" w:hAnsi="宋体" w:eastAsia="宋体" w:cs="宋体"/>
          <w:color w:val="auto"/>
          <w:sz w:val="24"/>
        </w:rPr>
        <w:t>编号：</w:t>
      </w:r>
      <w:r>
        <w:rPr>
          <w:rFonts w:hint="eastAsia" w:hAnsi="宋体" w:eastAsia="宋体" w:cs="宋体"/>
          <w:color w:val="auto"/>
          <w:sz w:val="24"/>
          <w:u w:val="single"/>
          <w:lang w:eastAsia="zh-CN"/>
        </w:rPr>
        <w:t>BCJD[2025]0901号</w:t>
      </w:r>
      <w:r>
        <w:rPr>
          <w:rFonts w:hint="eastAsia" w:hAnsi="宋体" w:eastAsia="宋体" w:cs="宋体"/>
          <w:color w:val="auto"/>
          <w:sz w:val="24"/>
          <w:szCs w:val="24"/>
        </w:rPr>
        <w:t xml:space="preserve"> (采购编号、采购项目名称) 采购磋商的有关活动，并对此项目进行响应。为此：我方同意在磋商须知前列表规定的磋商日期起遵守本采购承诺函中的承诺且在磋商有效期满之前均具有约束力。</w:t>
      </w:r>
    </w:p>
    <w:p w14:paraId="460AE0D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1、我方承诺已经具备《中华人民共和国政府采购法》参加政府采购活动的供应商应当具备的条件：</w:t>
      </w:r>
    </w:p>
    <w:p w14:paraId="7023564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（1）具有独立承担民事责任的能力；</w:t>
      </w:r>
    </w:p>
    <w:p w14:paraId="5E909CE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（2）具有良好的商业信誉和健全的财务会计制度；</w:t>
      </w:r>
    </w:p>
    <w:p w14:paraId="37CFE879">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0C0865A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2923E08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5DEE2A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（6）法律、行政法规规定的其他条件。</w:t>
      </w:r>
    </w:p>
    <w:p w14:paraId="4F8439E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2、提供磋商须知规定的全部磋商响应文件，包括：</w:t>
      </w:r>
    </w:p>
    <w:p w14:paraId="0F60D888">
      <w:pPr>
        <w:pStyle w:val="9"/>
        <w:spacing w:line="360" w:lineRule="auto"/>
        <w:ind w:firstLine="480" w:firstLineChars="200"/>
        <w:rPr>
          <w:rFonts w:eastAsia="宋体"/>
          <w:color w:val="auto"/>
        </w:rPr>
      </w:pPr>
      <w:r>
        <w:rPr>
          <w:rFonts w:hint="eastAsia" w:ascii="宋体" w:hAnsi="宋体" w:eastAsia="宋体" w:cs="宋体"/>
          <w:color w:val="auto"/>
          <w:szCs w:val="24"/>
        </w:rPr>
        <w:t>资格与证明文件；</w:t>
      </w:r>
    </w:p>
    <w:p w14:paraId="1CFAD38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商务与技术文件；</w:t>
      </w:r>
    </w:p>
    <w:p w14:paraId="5376392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报价文件；</w:t>
      </w:r>
    </w:p>
    <w:p w14:paraId="46EB079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磋商须知前列表要求的磋商人提交的全部文件；</w:t>
      </w:r>
    </w:p>
    <w:p w14:paraId="5E348F7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3、按竞争性磋商文件要求提供的服务报价详见磋商报价一览表。</w:t>
      </w:r>
    </w:p>
    <w:p w14:paraId="562D65E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4、保证忠实地执行双方所签订的合同，并承担合同规定的责任和义务。</w:t>
      </w:r>
    </w:p>
    <w:p w14:paraId="19064633">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5、保证遵守竞争性磋商文件中的其他有关条款。</w:t>
      </w:r>
    </w:p>
    <w:p w14:paraId="3C6507D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6、我们完全理解贵方不一定要接受最低报价。</w:t>
      </w:r>
    </w:p>
    <w:p w14:paraId="550198F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7、我方愿意向贵方提供真实完整的任何与该项目有关的数据、情况和技术资料。若贵方需要，我方愿意提供我方作出的一切承诺的证明材料。</w:t>
      </w:r>
    </w:p>
    <w:p w14:paraId="359DB54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8、我方已详细审核全部竞争性磋商文件，包括竞争性磋商的修改文件（如有的话）、参考资料及有关附件，确认无误。</w:t>
      </w:r>
    </w:p>
    <w:p w14:paraId="5ACF2EF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C7685CF">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（一）提供虚假材料谋取中标、成交的；</w:t>
      </w:r>
    </w:p>
    <w:p w14:paraId="32F74C00">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（二）采取不正当手段诋毁、排挤其他供应商的；</w:t>
      </w:r>
    </w:p>
    <w:p w14:paraId="05C65453">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（三）与采购人、其他供应商或者采购代理机构恶意串通的；</w:t>
      </w:r>
    </w:p>
    <w:p w14:paraId="0B70840F">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（四）向采购人、采购代理机构行贿或者提供其他不正当利益的；</w:t>
      </w:r>
    </w:p>
    <w:p w14:paraId="07A69BC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（五）拒绝有关部门监督检查或者提供虚假情况的。</w:t>
      </w:r>
    </w:p>
    <w:p w14:paraId="582C46FC">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供应商有前款第（一）至（五）项情形之一的，中标、成交无效。</w:t>
      </w:r>
    </w:p>
    <w:p w14:paraId="13D161A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10、我方的磋商响应文件在成交后</w:t>
      </w:r>
      <w:r>
        <w:rPr>
          <w:rFonts w:hint="eastAsia" w:ascii="宋体" w:hAnsi="宋体" w:eastAsia="宋体" w:cs="宋体"/>
          <w:color w:val="auto"/>
          <w:sz w:val="24"/>
          <w:u w:val="single"/>
          <w:lang w:val="en-US" w:eastAsia="zh-CN"/>
        </w:rPr>
        <w:t>90</w:t>
      </w:r>
      <w:r>
        <w:rPr>
          <w:rFonts w:hint="eastAsia" w:ascii="宋体" w:hAnsi="宋体" w:eastAsia="宋体" w:cs="宋体"/>
          <w:color w:val="auto"/>
          <w:sz w:val="24"/>
        </w:rPr>
        <w:t>天内有效。</w:t>
      </w:r>
    </w:p>
    <w:p w14:paraId="5A3EA2A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与本次采购有关的一切往来通讯请寄：</w:t>
      </w:r>
    </w:p>
    <w:p w14:paraId="30C359D0">
      <w:pPr>
        <w:pStyle w:val="13"/>
        <w:adjustRightInd w:val="0"/>
        <w:snapToGrid w:val="0"/>
        <w:spacing w:before="120" w:after="120"/>
        <w:ind w:firstLine="480"/>
        <w:rPr>
          <w:rFonts w:hAnsi="宋体" w:eastAsia="宋体" w:cs="宋体"/>
          <w:color w:val="auto"/>
          <w:sz w:val="24"/>
          <w:szCs w:val="24"/>
        </w:rPr>
      </w:pPr>
      <w:r>
        <w:rPr>
          <w:rFonts w:hint="eastAsia" w:hAnsi="宋体" w:eastAsia="宋体" w:cs="宋体"/>
          <w:color w:val="auto"/>
          <w:sz w:val="24"/>
          <w:szCs w:val="24"/>
        </w:rPr>
        <w:t>地址：__________________     邮编：____________　</w:t>
      </w:r>
    </w:p>
    <w:p w14:paraId="1C627035">
      <w:pPr>
        <w:pStyle w:val="13"/>
        <w:adjustRightInd w:val="0"/>
        <w:snapToGrid w:val="0"/>
        <w:spacing w:before="120" w:after="120"/>
        <w:ind w:firstLine="480" w:firstLineChars="200"/>
        <w:rPr>
          <w:rFonts w:hAnsi="宋体" w:eastAsia="宋体" w:cs="宋体"/>
          <w:color w:val="auto"/>
          <w:sz w:val="24"/>
          <w:szCs w:val="24"/>
        </w:rPr>
      </w:pPr>
      <w:r>
        <w:rPr>
          <w:rFonts w:hint="eastAsia" w:hAnsi="宋体" w:eastAsia="宋体" w:cs="宋体"/>
          <w:color w:val="auto"/>
          <w:sz w:val="24"/>
          <w:szCs w:val="24"/>
        </w:rPr>
        <w:t>电话：__________________传真：____________</w:t>
      </w:r>
    </w:p>
    <w:p w14:paraId="3B80657F">
      <w:pPr>
        <w:pStyle w:val="13"/>
        <w:adjustRightInd w:val="0"/>
        <w:snapToGrid w:val="0"/>
        <w:spacing w:before="120" w:after="120"/>
        <w:ind w:firstLine="480" w:firstLineChars="200"/>
        <w:rPr>
          <w:rFonts w:hAnsi="宋体" w:eastAsia="宋体" w:cs="宋体"/>
          <w:color w:val="auto"/>
          <w:sz w:val="24"/>
          <w:szCs w:val="24"/>
        </w:rPr>
      </w:pPr>
    </w:p>
    <w:p w14:paraId="6E9BCCE5">
      <w:pPr>
        <w:pStyle w:val="13"/>
        <w:adjustRightInd w:val="0"/>
        <w:snapToGrid w:val="0"/>
        <w:spacing w:before="120" w:after="120"/>
        <w:ind w:firstLine="3360" w:firstLineChars="1200"/>
        <w:rPr>
          <w:rFonts w:hAnsi="宋体" w:eastAsia="宋体" w:cs="宋体"/>
          <w:color w:val="auto"/>
          <w:spacing w:val="20"/>
          <w:sz w:val="24"/>
          <w:szCs w:val="24"/>
        </w:rPr>
      </w:pPr>
      <w:r>
        <w:rPr>
          <w:rFonts w:hint="eastAsia" w:hAnsi="宋体" w:eastAsia="宋体" w:cs="宋体"/>
          <w:color w:val="auto"/>
          <w:spacing w:val="20"/>
          <w:sz w:val="24"/>
          <w:szCs w:val="24"/>
        </w:rPr>
        <w:t>磋商供应商代表</w:t>
      </w:r>
      <w:r>
        <w:rPr>
          <w:rFonts w:hint="eastAsia" w:ascii="宋体" w:hAnsi="宋体" w:eastAsia="宋体" w:cs="宋体"/>
          <w:color w:val="auto"/>
          <w:sz w:val="24"/>
        </w:rPr>
        <w:t>（签字或盖章）</w:t>
      </w:r>
      <w:r>
        <w:rPr>
          <w:rFonts w:hint="eastAsia" w:hAnsi="宋体" w:eastAsia="宋体" w:cs="宋体"/>
          <w:color w:val="auto"/>
          <w:spacing w:val="20"/>
          <w:sz w:val="24"/>
          <w:szCs w:val="24"/>
        </w:rPr>
        <w:t>：</w:t>
      </w:r>
    </w:p>
    <w:p w14:paraId="08A85BA3">
      <w:pPr>
        <w:pStyle w:val="13"/>
        <w:adjustRightInd w:val="0"/>
        <w:snapToGrid w:val="0"/>
        <w:spacing w:before="120" w:after="120"/>
        <w:ind w:firstLine="2240" w:firstLineChars="800"/>
        <w:rPr>
          <w:rFonts w:hAnsi="宋体" w:eastAsia="宋体" w:cs="宋体"/>
          <w:color w:val="auto"/>
          <w:spacing w:val="20"/>
          <w:sz w:val="24"/>
          <w:szCs w:val="24"/>
        </w:rPr>
      </w:pPr>
    </w:p>
    <w:p w14:paraId="77AC14C7">
      <w:pPr>
        <w:pStyle w:val="13"/>
        <w:adjustRightInd w:val="0"/>
        <w:snapToGrid w:val="0"/>
        <w:spacing w:before="120" w:after="120"/>
        <w:ind w:firstLine="3360" w:firstLineChars="1200"/>
        <w:rPr>
          <w:rFonts w:hAnsi="宋体" w:eastAsia="宋体" w:cs="宋体"/>
          <w:color w:val="auto"/>
          <w:spacing w:val="20"/>
          <w:sz w:val="24"/>
          <w:szCs w:val="24"/>
        </w:rPr>
      </w:pPr>
      <w:r>
        <w:rPr>
          <w:rFonts w:hint="eastAsia" w:hAnsi="宋体" w:eastAsia="宋体" w:cs="宋体"/>
          <w:bCs/>
          <w:color w:val="auto"/>
          <w:spacing w:val="20"/>
          <w:sz w:val="24"/>
          <w:szCs w:val="24"/>
        </w:rPr>
        <w:t>磋商供应商名称（盖章）</w:t>
      </w:r>
      <w:r>
        <w:rPr>
          <w:rFonts w:hint="eastAsia" w:hAnsi="宋体" w:eastAsia="宋体" w:cs="宋体"/>
          <w:color w:val="auto"/>
          <w:spacing w:val="20"/>
          <w:sz w:val="24"/>
          <w:szCs w:val="24"/>
        </w:rPr>
        <w:t>：</w:t>
      </w:r>
    </w:p>
    <w:p w14:paraId="09952158">
      <w:pPr>
        <w:pStyle w:val="13"/>
        <w:adjustRightInd w:val="0"/>
        <w:snapToGrid w:val="0"/>
        <w:spacing w:before="120" w:after="120"/>
        <w:ind w:firstLine="5320" w:firstLineChars="1900"/>
        <w:rPr>
          <w:rFonts w:hAnsi="宋体" w:eastAsia="宋体" w:cs="宋体"/>
          <w:bCs/>
          <w:color w:val="auto"/>
          <w:spacing w:val="20"/>
          <w:sz w:val="24"/>
          <w:szCs w:val="24"/>
        </w:rPr>
      </w:pPr>
    </w:p>
    <w:p w14:paraId="79C8CA5A">
      <w:pPr>
        <w:pStyle w:val="13"/>
        <w:adjustRightInd w:val="0"/>
        <w:snapToGrid w:val="0"/>
        <w:spacing w:before="120" w:after="120"/>
        <w:ind w:firstLine="6440" w:firstLineChars="2300"/>
        <w:rPr>
          <w:rFonts w:hAnsi="宋体" w:eastAsia="宋体" w:cs="宋体"/>
          <w:color w:val="auto"/>
          <w:spacing w:val="20"/>
          <w:sz w:val="24"/>
          <w:szCs w:val="24"/>
          <w:u w:val="single"/>
        </w:rPr>
      </w:pPr>
      <w:r>
        <w:rPr>
          <w:rFonts w:hint="eastAsia" w:hAnsi="宋体" w:eastAsia="宋体" w:cs="宋体"/>
          <w:color w:val="auto"/>
          <w:spacing w:val="20"/>
          <w:sz w:val="24"/>
          <w:szCs w:val="24"/>
        </w:rPr>
        <w:t>日     期：</w:t>
      </w:r>
    </w:p>
    <w:p w14:paraId="411502D7">
      <w:pPr>
        <w:tabs>
          <w:tab w:val="left" w:pos="3111"/>
        </w:tabs>
        <w:autoSpaceDE w:val="0"/>
        <w:autoSpaceDN w:val="0"/>
        <w:adjustRightInd w:val="0"/>
        <w:rPr>
          <w:rFonts w:ascii="宋体" w:hAnsi="宋体" w:eastAsia="宋体" w:cs="宋体"/>
          <w:color w:val="auto"/>
          <w:kern w:val="0"/>
          <w:sz w:val="24"/>
        </w:rPr>
      </w:pPr>
      <w:r>
        <w:rPr>
          <w:rFonts w:hint="eastAsia" w:ascii="宋体" w:hAnsi="宋体" w:eastAsia="宋体" w:cs="宋体"/>
          <w:color w:val="auto"/>
          <w:kern w:val="0"/>
          <w:sz w:val="24"/>
        </w:rPr>
        <w:tab/>
      </w:r>
    </w:p>
    <w:p w14:paraId="09E00923">
      <w:pPr>
        <w:tabs>
          <w:tab w:val="left" w:pos="3111"/>
        </w:tabs>
        <w:autoSpaceDE w:val="0"/>
        <w:autoSpaceDN w:val="0"/>
        <w:adjustRightInd w:val="0"/>
        <w:rPr>
          <w:rFonts w:ascii="宋体" w:hAnsi="宋体" w:eastAsia="宋体" w:cs="宋体"/>
          <w:color w:val="auto"/>
          <w:kern w:val="0"/>
          <w:sz w:val="24"/>
        </w:rPr>
      </w:pPr>
    </w:p>
    <w:p w14:paraId="289A32A8">
      <w:pPr>
        <w:tabs>
          <w:tab w:val="left" w:pos="3111"/>
        </w:tabs>
        <w:autoSpaceDE w:val="0"/>
        <w:autoSpaceDN w:val="0"/>
        <w:adjustRightInd w:val="0"/>
        <w:rPr>
          <w:rFonts w:ascii="宋体" w:hAnsi="宋体" w:eastAsia="宋体" w:cs="宋体"/>
          <w:color w:val="auto"/>
          <w:kern w:val="0"/>
          <w:sz w:val="24"/>
        </w:rPr>
      </w:pPr>
    </w:p>
    <w:p w14:paraId="6A261F8F">
      <w:pPr>
        <w:tabs>
          <w:tab w:val="left" w:pos="3111"/>
        </w:tabs>
        <w:autoSpaceDE w:val="0"/>
        <w:autoSpaceDN w:val="0"/>
        <w:adjustRightInd w:val="0"/>
        <w:rPr>
          <w:rFonts w:ascii="宋体" w:hAnsi="宋体" w:eastAsia="宋体" w:cs="宋体"/>
          <w:color w:val="auto"/>
          <w:kern w:val="0"/>
          <w:sz w:val="24"/>
        </w:rPr>
      </w:pPr>
    </w:p>
    <w:p w14:paraId="7947A12E">
      <w:pPr>
        <w:tabs>
          <w:tab w:val="left" w:pos="3111"/>
        </w:tabs>
        <w:autoSpaceDE w:val="0"/>
        <w:autoSpaceDN w:val="0"/>
        <w:adjustRightInd w:val="0"/>
        <w:rPr>
          <w:rFonts w:ascii="宋体" w:hAnsi="宋体" w:eastAsia="宋体" w:cs="宋体"/>
          <w:color w:val="auto"/>
          <w:kern w:val="0"/>
          <w:sz w:val="24"/>
        </w:rPr>
      </w:pPr>
    </w:p>
    <w:p w14:paraId="6A9AF7B1">
      <w:pPr>
        <w:tabs>
          <w:tab w:val="left" w:pos="3111"/>
        </w:tabs>
        <w:autoSpaceDE w:val="0"/>
        <w:autoSpaceDN w:val="0"/>
        <w:adjustRightInd w:val="0"/>
        <w:rPr>
          <w:rFonts w:ascii="宋体" w:hAnsi="宋体" w:eastAsia="宋体" w:cs="宋体"/>
          <w:color w:val="auto"/>
          <w:kern w:val="0"/>
          <w:sz w:val="24"/>
        </w:rPr>
      </w:pPr>
    </w:p>
    <w:p w14:paraId="76D8A226">
      <w:pPr>
        <w:tabs>
          <w:tab w:val="left" w:pos="3111"/>
        </w:tabs>
        <w:autoSpaceDE w:val="0"/>
        <w:autoSpaceDN w:val="0"/>
        <w:adjustRightInd w:val="0"/>
        <w:rPr>
          <w:rFonts w:ascii="宋体" w:hAnsi="宋体" w:eastAsia="宋体" w:cs="宋体"/>
          <w:color w:val="auto"/>
          <w:kern w:val="0"/>
          <w:sz w:val="24"/>
        </w:rPr>
      </w:pPr>
    </w:p>
    <w:p w14:paraId="021A2BD5">
      <w:pPr>
        <w:pStyle w:val="13"/>
        <w:adjustRightInd w:val="0"/>
        <w:snapToGrid w:val="0"/>
        <w:spacing w:before="120" w:after="120"/>
        <w:rPr>
          <w:rFonts w:hAnsi="宋体" w:eastAsia="宋体" w:cs="宋体"/>
          <w:b/>
          <w:bCs/>
          <w:color w:val="auto"/>
          <w:szCs w:val="21"/>
        </w:rPr>
      </w:pPr>
      <w:r>
        <w:rPr>
          <w:rFonts w:hint="eastAsia" w:hAnsi="宋体" w:eastAsia="宋体" w:cs="宋体"/>
          <w:b/>
          <w:bCs/>
          <w:color w:val="auto"/>
          <w:szCs w:val="21"/>
        </w:rPr>
        <w:t>注：未按照本磋商承诺函格式要求填报的磋商承诺函将被视为非实质性响应磋商，从而导致其被拒绝。</w:t>
      </w:r>
    </w:p>
    <w:p w14:paraId="52FD0B3E">
      <w:pPr>
        <w:pStyle w:val="13"/>
        <w:adjustRightInd w:val="0"/>
        <w:snapToGrid w:val="0"/>
        <w:spacing w:before="120" w:after="120"/>
        <w:jc w:val="center"/>
        <w:rPr>
          <w:rFonts w:hAnsi="宋体" w:eastAsia="宋体" w:cs="宋体"/>
          <w:b/>
          <w:bCs/>
          <w:color w:val="auto"/>
          <w:sz w:val="24"/>
          <w:szCs w:val="24"/>
          <w:lang w:val="zh-CN"/>
        </w:rPr>
      </w:pPr>
    </w:p>
    <w:p w14:paraId="43CB2E06">
      <w:pPr>
        <w:pStyle w:val="13"/>
        <w:adjustRightInd w:val="0"/>
        <w:snapToGrid w:val="0"/>
        <w:spacing w:before="120" w:after="120"/>
        <w:jc w:val="center"/>
        <w:rPr>
          <w:rFonts w:hAnsi="宋体" w:eastAsia="宋体" w:cs="宋体"/>
          <w:b/>
          <w:bCs/>
          <w:color w:val="auto"/>
          <w:sz w:val="24"/>
          <w:szCs w:val="24"/>
          <w:lang w:val="zh-CN"/>
        </w:rPr>
      </w:pPr>
    </w:p>
    <w:p w14:paraId="645CD2D6">
      <w:pPr>
        <w:pStyle w:val="13"/>
        <w:adjustRightInd w:val="0"/>
        <w:snapToGrid w:val="0"/>
        <w:spacing w:before="120" w:after="120"/>
        <w:jc w:val="center"/>
        <w:rPr>
          <w:rFonts w:hAnsi="宋体" w:eastAsia="宋体" w:cs="宋体"/>
          <w:b/>
          <w:bCs/>
          <w:color w:val="auto"/>
          <w:sz w:val="24"/>
          <w:szCs w:val="24"/>
          <w:lang w:val="zh-CN"/>
        </w:rPr>
      </w:pPr>
    </w:p>
    <w:p w14:paraId="0672F91C">
      <w:pPr>
        <w:pStyle w:val="13"/>
        <w:adjustRightInd w:val="0"/>
        <w:snapToGrid w:val="0"/>
        <w:spacing w:before="120" w:after="120"/>
        <w:jc w:val="center"/>
        <w:rPr>
          <w:rFonts w:hAnsi="宋体" w:eastAsia="宋体" w:cs="宋体"/>
          <w:b/>
          <w:bCs/>
          <w:color w:val="auto"/>
          <w:sz w:val="24"/>
          <w:szCs w:val="24"/>
          <w:lang w:val="zh-CN"/>
        </w:rPr>
      </w:pPr>
    </w:p>
    <w:p w14:paraId="761533E4">
      <w:pPr>
        <w:pStyle w:val="13"/>
        <w:adjustRightInd w:val="0"/>
        <w:snapToGrid w:val="0"/>
        <w:spacing w:before="120" w:after="120"/>
        <w:jc w:val="center"/>
        <w:rPr>
          <w:rFonts w:hAnsi="宋体" w:eastAsia="宋体" w:cs="宋体"/>
          <w:b/>
          <w:bCs/>
          <w:color w:val="auto"/>
          <w:sz w:val="24"/>
          <w:szCs w:val="24"/>
          <w:lang w:val="zh-CN"/>
        </w:rPr>
      </w:pPr>
    </w:p>
    <w:p w14:paraId="2F834745">
      <w:pPr>
        <w:pStyle w:val="13"/>
        <w:adjustRightInd w:val="0"/>
        <w:snapToGrid w:val="0"/>
        <w:spacing w:before="120" w:after="120"/>
        <w:jc w:val="center"/>
        <w:rPr>
          <w:rFonts w:hAnsi="宋体" w:eastAsia="宋体" w:cs="宋体"/>
          <w:b/>
          <w:bCs/>
          <w:color w:val="auto"/>
          <w:sz w:val="24"/>
          <w:szCs w:val="24"/>
          <w:lang w:val="zh-CN"/>
        </w:rPr>
      </w:pPr>
    </w:p>
    <w:p w14:paraId="41717AC5">
      <w:pPr>
        <w:rPr>
          <w:rFonts w:hAnsi="宋体" w:eastAsia="宋体" w:cs="宋体"/>
          <w:b/>
          <w:bCs/>
          <w:color w:val="auto"/>
          <w:sz w:val="24"/>
          <w:szCs w:val="24"/>
          <w:lang w:val="zh-CN"/>
        </w:rPr>
      </w:pPr>
    </w:p>
    <w:p w14:paraId="65EB403B">
      <w:pPr>
        <w:pStyle w:val="33"/>
        <w:rPr>
          <w:color w:val="auto"/>
          <w:lang w:val="zh-CN"/>
        </w:rPr>
      </w:pPr>
    </w:p>
    <w:p w14:paraId="1912CA4F">
      <w:pPr>
        <w:pStyle w:val="14"/>
        <w:rPr>
          <w:rFonts w:hAnsi="宋体" w:eastAsia="宋体" w:cs="宋体"/>
          <w:b/>
          <w:bCs/>
          <w:color w:val="auto"/>
          <w:sz w:val="24"/>
          <w:szCs w:val="24"/>
          <w:lang w:val="zh-CN"/>
        </w:rPr>
      </w:pPr>
    </w:p>
    <w:p w14:paraId="1E0EEE94">
      <w:pPr>
        <w:snapToGrid w:val="0"/>
        <w:spacing w:beforeLines="50" w:after="50"/>
        <w:jc w:val="left"/>
        <w:rPr>
          <w:rFonts w:ascii="宋体" w:hAnsi="宋体" w:eastAsia="宋体" w:cs="宋体"/>
          <w:b/>
          <w:bCs/>
          <w:color w:val="auto"/>
          <w:sz w:val="24"/>
        </w:rPr>
      </w:pPr>
      <w:r>
        <w:rPr>
          <w:rFonts w:hint="eastAsia" w:ascii="宋体" w:hAnsi="宋体" w:eastAsia="宋体" w:cs="宋体"/>
          <w:b/>
          <w:bCs/>
          <w:color w:val="auto"/>
          <w:sz w:val="24"/>
        </w:rPr>
        <w:t xml:space="preserve">附件二：                    </w:t>
      </w:r>
    </w:p>
    <w:p w14:paraId="52D3B908">
      <w:pPr>
        <w:snapToGrid w:val="0"/>
        <w:spacing w:beforeLines="50" w:after="50"/>
        <w:jc w:val="center"/>
        <w:rPr>
          <w:rFonts w:ascii="宋体" w:hAnsi="宋体" w:eastAsia="宋体" w:cs="宋体"/>
          <w:b/>
          <w:color w:val="auto"/>
          <w:sz w:val="24"/>
        </w:rPr>
      </w:pPr>
      <w:r>
        <w:rPr>
          <w:rFonts w:hint="eastAsia" w:ascii="宋体" w:hAnsi="宋体" w:eastAsia="宋体" w:cs="宋体"/>
          <w:b/>
          <w:color w:val="auto"/>
          <w:sz w:val="24"/>
        </w:rPr>
        <w:t>法定代表人授权委托书</w:t>
      </w:r>
    </w:p>
    <w:p w14:paraId="7F18539D">
      <w:pPr>
        <w:snapToGrid w:val="0"/>
        <w:spacing w:beforeLines="50" w:after="50" w:line="240" w:lineRule="auto"/>
        <w:rPr>
          <w:rFonts w:ascii="宋体" w:hAnsi="宋体" w:eastAsia="宋体" w:cs="宋体"/>
          <w:bCs/>
          <w:color w:val="auto"/>
          <w:sz w:val="24"/>
        </w:rPr>
      </w:pPr>
    </w:p>
    <w:p w14:paraId="7507C1F7">
      <w:pPr>
        <w:snapToGrid w:val="0"/>
        <w:spacing w:beforeLines="50" w:after="50" w:line="240" w:lineRule="auto"/>
        <w:rPr>
          <w:rFonts w:ascii="宋体" w:hAnsi="宋体" w:eastAsia="宋体" w:cs="宋体"/>
          <w:b/>
          <w:bCs/>
          <w:color w:val="auto"/>
          <w:sz w:val="24"/>
        </w:rPr>
      </w:pPr>
      <w:r>
        <w:rPr>
          <w:rFonts w:hint="eastAsia" w:ascii="宋体" w:hAnsi="宋体" w:eastAsia="宋体" w:cs="宋体"/>
          <w:bCs/>
          <w:color w:val="auto"/>
          <w:sz w:val="24"/>
        </w:rPr>
        <w:t>致：</w:t>
      </w:r>
      <w:r>
        <w:rPr>
          <w:rFonts w:hint="eastAsia" w:ascii="宋体" w:hAnsi="宋体" w:eastAsia="宋体" w:cs="宋体"/>
          <w:bCs/>
          <w:color w:val="auto"/>
          <w:sz w:val="24"/>
          <w:u w:val="single"/>
          <w:lang w:val="en-US" w:eastAsia="zh-CN"/>
        </w:rPr>
        <w:t xml:space="preserve">                    </w:t>
      </w:r>
      <w:r>
        <w:rPr>
          <w:rFonts w:hint="eastAsia" w:ascii="宋体" w:hAnsi="宋体" w:eastAsia="宋体" w:cs="宋体"/>
          <w:color w:val="auto"/>
          <w:sz w:val="24"/>
        </w:rPr>
        <w:t>（采购单位名称）：</w:t>
      </w:r>
    </w:p>
    <w:p w14:paraId="6456DE5F">
      <w:pPr>
        <w:spacing w:line="240" w:lineRule="auto"/>
        <w:ind w:firstLine="480" w:firstLineChars="200"/>
        <w:rPr>
          <w:rFonts w:ascii="宋体" w:hAnsi="宋体" w:eastAsia="宋体" w:cs="宋体"/>
          <w:color w:val="auto"/>
          <w:sz w:val="24"/>
        </w:rPr>
      </w:pPr>
      <w:r>
        <w:rPr>
          <w:rFonts w:hint="eastAsia" w:ascii="宋体" w:hAnsi="宋体" w:eastAsia="宋体" w:cs="宋体"/>
          <w:bCs/>
          <w:color w:val="auto"/>
          <w:sz w:val="24"/>
          <w:u w:val="single"/>
          <w:lang w:val="en-US" w:eastAsia="zh-CN"/>
        </w:rPr>
        <w:t xml:space="preserve">                    </w:t>
      </w:r>
      <w:r>
        <w:rPr>
          <w:rFonts w:hint="eastAsia" w:ascii="宋体" w:hAnsi="宋体" w:eastAsia="宋体" w:cs="宋体"/>
          <w:color w:val="auto"/>
          <w:sz w:val="24"/>
        </w:rPr>
        <w:t>（磋商供应商全称）法定代表人授权</w:t>
      </w:r>
      <w:r>
        <w:rPr>
          <w:rFonts w:hint="eastAsia" w:ascii="宋体" w:hAnsi="宋体" w:eastAsia="宋体" w:cs="宋体"/>
          <w:bCs/>
          <w:color w:val="auto"/>
          <w:sz w:val="24"/>
          <w:u w:val="single"/>
          <w:lang w:val="en-US" w:eastAsia="zh-CN"/>
        </w:rPr>
        <w:t xml:space="preserve">            </w:t>
      </w:r>
      <w:r>
        <w:rPr>
          <w:rFonts w:hint="eastAsia" w:ascii="宋体" w:hAnsi="宋体" w:eastAsia="宋体" w:cs="宋体"/>
          <w:color w:val="auto"/>
          <w:sz w:val="24"/>
        </w:rPr>
        <w:t>（全称代表姓名）为全权代表，参加贵局组织的</w:t>
      </w:r>
      <w:r>
        <w:rPr>
          <w:rFonts w:hint="eastAsia" w:ascii="宋体" w:hAnsi="宋体" w:eastAsia="宋体" w:cs="宋体"/>
          <w:color w:val="auto"/>
          <w:sz w:val="24"/>
          <w:u w:val="single"/>
          <w:lang w:eastAsia="zh-CN"/>
        </w:rPr>
        <w:t>北城办事处改造工程</w:t>
      </w:r>
      <w:r>
        <w:rPr>
          <w:rFonts w:hint="eastAsia" w:ascii="宋体" w:hAnsi="宋体" w:eastAsia="宋体" w:cs="宋体"/>
          <w:color w:val="auto"/>
          <w:sz w:val="24"/>
        </w:rPr>
        <w:t>编号：</w:t>
      </w:r>
      <w:r>
        <w:rPr>
          <w:rFonts w:hint="eastAsia" w:ascii="宋体" w:hAnsi="宋体" w:eastAsia="宋体" w:cs="宋体"/>
          <w:color w:val="auto"/>
          <w:sz w:val="24"/>
          <w:u w:val="single"/>
          <w:lang w:eastAsia="zh-CN"/>
        </w:rPr>
        <w:t>BCJD[2025]0901号</w:t>
      </w:r>
      <w:r>
        <w:rPr>
          <w:rFonts w:hint="eastAsia" w:ascii="宋体" w:hAnsi="宋体" w:eastAsia="宋体" w:cs="宋体"/>
          <w:color w:val="auto"/>
          <w:sz w:val="24"/>
        </w:rPr>
        <w:t>的磋商活动，全权代表我方处理磋商活动中的一切事务，我均予以承认。</w:t>
      </w:r>
    </w:p>
    <w:p w14:paraId="505B2336">
      <w:pPr>
        <w:spacing w:line="240" w:lineRule="auto"/>
        <w:ind w:firstLine="4094" w:firstLineChars="1706"/>
        <w:rPr>
          <w:rFonts w:ascii="宋体" w:hAnsi="宋体" w:eastAsia="宋体" w:cs="宋体"/>
          <w:color w:val="auto"/>
          <w:sz w:val="24"/>
        </w:rPr>
      </w:pPr>
    </w:p>
    <w:p w14:paraId="35257397">
      <w:pPr>
        <w:spacing w:line="240" w:lineRule="auto"/>
        <w:ind w:firstLine="4094" w:firstLineChars="1706"/>
        <w:rPr>
          <w:rFonts w:ascii="宋体" w:hAnsi="宋体" w:eastAsia="宋体" w:cs="宋体"/>
          <w:color w:val="auto"/>
          <w:sz w:val="24"/>
        </w:rPr>
      </w:pPr>
      <w:r>
        <w:rPr>
          <w:rFonts w:hint="eastAsia" w:hAnsi="宋体" w:cs="宋体"/>
          <w:color w:val="auto"/>
          <w:sz w:val="24"/>
        </w:rPr>
        <w:t>磋商供应商代表</w:t>
      </w:r>
      <w:r>
        <w:rPr>
          <w:rFonts w:hint="eastAsia" w:ascii="宋体" w:hAnsi="宋体" w:eastAsia="宋体" w:cs="宋体"/>
          <w:color w:val="auto"/>
          <w:sz w:val="24"/>
        </w:rPr>
        <w:t>（签字或盖章）：</w:t>
      </w:r>
    </w:p>
    <w:p w14:paraId="7AFEAC63">
      <w:pPr>
        <w:spacing w:line="240" w:lineRule="auto"/>
        <w:ind w:firstLine="4094" w:firstLineChars="1706"/>
        <w:rPr>
          <w:rFonts w:ascii="宋体" w:hAnsi="宋体" w:eastAsia="宋体" w:cs="宋体"/>
          <w:color w:val="auto"/>
          <w:sz w:val="24"/>
        </w:rPr>
      </w:pPr>
    </w:p>
    <w:p w14:paraId="760B1F32">
      <w:pPr>
        <w:spacing w:line="240" w:lineRule="auto"/>
        <w:ind w:firstLine="4094" w:firstLineChars="1706"/>
        <w:rPr>
          <w:rFonts w:ascii="宋体" w:hAnsi="宋体" w:eastAsia="宋体" w:cs="宋体"/>
          <w:color w:val="auto"/>
          <w:sz w:val="24"/>
        </w:rPr>
      </w:pPr>
      <w:r>
        <w:rPr>
          <w:rFonts w:hint="eastAsia" w:ascii="宋体" w:hAnsi="宋体" w:eastAsia="宋体" w:cs="宋体"/>
          <w:color w:val="auto"/>
          <w:sz w:val="24"/>
        </w:rPr>
        <w:t>磋商供应商全称（盖单位章）：</w:t>
      </w:r>
    </w:p>
    <w:p w14:paraId="10AA0E68">
      <w:pPr>
        <w:spacing w:line="360" w:lineRule="auto"/>
        <w:ind w:firstLine="4094" w:firstLineChars="1706"/>
        <w:rPr>
          <w:rFonts w:ascii="宋体" w:hAnsi="宋体" w:eastAsia="宋体" w:cs="宋体"/>
          <w:color w:val="auto"/>
          <w:sz w:val="24"/>
        </w:rPr>
      </w:pPr>
    </w:p>
    <w:p w14:paraId="65D5D941">
      <w:pPr>
        <w:spacing w:line="360" w:lineRule="auto"/>
        <w:ind w:firstLine="600" w:firstLineChars="250"/>
        <w:jc w:val="right"/>
        <w:rPr>
          <w:rFonts w:ascii="宋体" w:hAnsi="宋体" w:eastAsia="宋体" w:cs="宋体"/>
          <w:color w:val="auto"/>
          <w:sz w:val="24"/>
        </w:rPr>
      </w:pPr>
      <w:r>
        <w:rPr>
          <w:rFonts w:hint="eastAsia" w:ascii="宋体" w:hAnsi="宋体" w:eastAsia="宋体" w:cs="宋体"/>
          <w:color w:val="auto"/>
          <w:sz w:val="24"/>
        </w:rPr>
        <w:t>日  期：    年   月   日</w:t>
      </w:r>
    </w:p>
    <w:p w14:paraId="0A44D09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附：                                      </w:t>
      </w:r>
    </w:p>
    <w:tbl>
      <w:tblPr>
        <w:tblStyle w:val="26"/>
        <w:tblpPr w:leftFromText="180" w:rightFromText="180" w:vertAnchor="text" w:horzAnchor="page" w:tblpX="5665" w:tblpY="59"/>
        <w:tblW w:w="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tblGrid>
      <w:tr w14:paraId="6980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4740" w:type="dxa"/>
            <w:noWrap w:val="0"/>
            <w:vAlign w:val="top"/>
          </w:tcPr>
          <w:p w14:paraId="0C5AA3E2">
            <w:pPr>
              <w:spacing w:line="360" w:lineRule="auto"/>
              <w:rPr>
                <w:rFonts w:ascii="宋体"/>
                <w:b/>
                <w:color w:val="auto"/>
                <w:sz w:val="24"/>
              </w:rPr>
            </w:pPr>
          </w:p>
          <w:p w14:paraId="13AFF469">
            <w:pPr>
              <w:spacing w:line="360" w:lineRule="auto"/>
              <w:rPr>
                <w:rFonts w:ascii="宋体"/>
                <w:b/>
                <w:color w:val="auto"/>
                <w:sz w:val="24"/>
              </w:rPr>
            </w:pPr>
            <w:r>
              <w:rPr>
                <w:rFonts w:hint="eastAsia" w:ascii="宋体"/>
                <w:b/>
                <w:color w:val="auto"/>
                <w:sz w:val="24"/>
              </w:rPr>
              <w:t>法定代表</w:t>
            </w:r>
            <w:r>
              <w:rPr>
                <w:rFonts w:hint="eastAsia" w:ascii="宋体"/>
                <w:b/>
                <w:color w:val="auto"/>
                <w:sz w:val="24"/>
                <w:lang w:val="en-US" w:eastAsia="zh-CN"/>
              </w:rPr>
              <w:t>人身份证正反面扫描件粘贴处</w:t>
            </w:r>
          </w:p>
        </w:tc>
      </w:tr>
    </w:tbl>
    <w:p w14:paraId="2AA2AAC2">
      <w:pPr>
        <w:spacing w:line="360" w:lineRule="auto"/>
        <w:rPr>
          <w:color w:val="auto"/>
          <w:sz w:val="24"/>
        </w:rPr>
      </w:pPr>
      <w:r>
        <w:rPr>
          <w:rFonts w:hint="eastAsia" w:ascii="宋体"/>
          <w:color w:val="auto"/>
          <w:sz w:val="24"/>
        </w:rPr>
        <w:t xml:space="preserve">法定代表人姓名：                                </w:t>
      </w:r>
    </w:p>
    <w:p w14:paraId="5AD1C588">
      <w:pPr>
        <w:spacing w:line="360" w:lineRule="auto"/>
        <w:rPr>
          <w:color w:val="auto"/>
          <w:sz w:val="24"/>
        </w:rPr>
      </w:pPr>
      <w:r>
        <w:rPr>
          <w:rFonts w:hint="eastAsia" w:ascii="宋体"/>
          <w:color w:val="auto"/>
          <w:sz w:val="24"/>
        </w:rPr>
        <w:t>传真：</w:t>
      </w:r>
    </w:p>
    <w:p w14:paraId="0A0404DE">
      <w:pPr>
        <w:spacing w:line="360" w:lineRule="auto"/>
        <w:rPr>
          <w:rFonts w:ascii="宋体"/>
          <w:color w:val="auto"/>
          <w:sz w:val="24"/>
        </w:rPr>
      </w:pPr>
      <w:r>
        <w:rPr>
          <w:rFonts w:hint="eastAsia" w:ascii="宋体"/>
          <w:color w:val="auto"/>
          <w:sz w:val="24"/>
        </w:rPr>
        <w:t>电话：</w:t>
      </w:r>
    </w:p>
    <w:p w14:paraId="11B0669B">
      <w:pPr>
        <w:spacing w:line="360" w:lineRule="auto"/>
        <w:rPr>
          <w:color w:val="auto"/>
          <w:sz w:val="24"/>
        </w:rPr>
      </w:pPr>
      <w:r>
        <w:rPr>
          <w:rFonts w:hint="eastAsia" w:ascii="宋体"/>
          <w:color w:val="auto"/>
          <w:sz w:val="24"/>
        </w:rPr>
        <w:t>详细通讯地址：</w:t>
      </w:r>
    </w:p>
    <w:p w14:paraId="66CAC1C7">
      <w:pPr>
        <w:spacing w:line="360" w:lineRule="auto"/>
        <w:rPr>
          <w:b/>
          <w:color w:val="auto"/>
          <w:sz w:val="24"/>
        </w:rPr>
      </w:pPr>
      <w:r>
        <w:rPr>
          <w:rFonts w:hint="eastAsia" w:ascii="宋体"/>
          <w:color w:val="auto"/>
          <w:sz w:val="24"/>
        </w:rPr>
        <w:t>邮政编码：</w:t>
      </w:r>
    </w:p>
    <w:tbl>
      <w:tblPr>
        <w:tblStyle w:val="26"/>
        <w:tblpPr w:leftFromText="180" w:rightFromText="180" w:vertAnchor="text" w:horzAnchor="page" w:tblpX="5653" w:tblpY="1300"/>
        <w:tblW w:w="4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tblGrid>
      <w:tr w14:paraId="0B61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4820" w:type="dxa"/>
            <w:noWrap w:val="0"/>
            <w:vAlign w:val="top"/>
          </w:tcPr>
          <w:p w14:paraId="0A28BCBE">
            <w:pPr>
              <w:spacing w:line="360" w:lineRule="auto"/>
              <w:rPr>
                <w:rFonts w:ascii="宋体"/>
                <w:b/>
                <w:color w:val="auto"/>
                <w:sz w:val="24"/>
              </w:rPr>
            </w:pPr>
          </w:p>
          <w:p w14:paraId="6C34A027">
            <w:pPr>
              <w:spacing w:line="360" w:lineRule="auto"/>
              <w:rPr>
                <w:rFonts w:ascii="宋体"/>
                <w:b/>
                <w:color w:val="auto"/>
                <w:sz w:val="24"/>
              </w:rPr>
            </w:pPr>
            <w:r>
              <w:rPr>
                <w:rFonts w:hint="eastAsia" w:ascii="宋体"/>
                <w:b/>
                <w:color w:val="auto"/>
                <w:sz w:val="24"/>
              </w:rPr>
              <w:t>全权代表身份证</w:t>
            </w:r>
            <w:r>
              <w:rPr>
                <w:rFonts w:hint="eastAsia" w:ascii="宋体"/>
                <w:b/>
                <w:color w:val="auto"/>
                <w:sz w:val="24"/>
                <w:lang w:val="en-US" w:eastAsia="zh-CN"/>
              </w:rPr>
              <w:t>正反面扫描</w:t>
            </w:r>
            <w:r>
              <w:rPr>
                <w:rFonts w:hint="eastAsia" w:ascii="宋体"/>
                <w:b/>
                <w:color w:val="auto"/>
                <w:sz w:val="24"/>
              </w:rPr>
              <w:t>件粘帖处</w:t>
            </w:r>
          </w:p>
        </w:tc>
      </w:tr>
    </w:tbl>
    <w:p w14:paraId="2DF77EA2">
      <w:pPr>
        <w:pStyle w:val="3"/>
        <w:ind w:left="0" w:leftChars="0" w:firstLine="0" w:firstLineChars="0"/>
        <w:rPr>
          <w:rFonts w:hint="eastAsia" w:ascii="宋体"/>
          <w:color w:val="auto"/>
          <w:sz w:val="24"/>
        </w:rPr>
      </w:pPr>
    </w:p>
    <w:p w14:paraId="2B31F8B9">
      <w:pPr>
        <w:pStyle w:val="21"/>
        <w:rPr>
          <w:rFonts w:hint="eastAsia" w:ascii="宋体"/>
          <w:color w:val="auto"/>
          <w:sz w:val="24"/>
        </w:rPr>
      </w:pPr>
    </w:p>
    <w:p w14:paraId="2CF7BB1B">
      <w:pPr>
        <w:rPr>
          <w:rFonts w:hint="eastAsia" w:ascii="宋体"/>
          <w:color w:val="auto"/>
          <w:sz w:val="24"/>
        </w:rPr>
      </w:pPr>
    </w:p>
    <w:p w14:paraId="6AE82FFE">
      <w:pPr>
        <w:pStyle w:val="3"/>
        <w:rPr>
          <w:rFonts w:hint="eastAsia"/>
          <w:color w:val="auto"/>
        </w:rPr>
      </w:pPr>
    </w:p>
    <w:p w14:paraId="1182A442">
      <w:pPr>
        <w:spacing w:line="360" w:lineRule="auto"/>
        <w:rPr>
          <w:rFonts w:ascii="宋体"/>
          <w:color w:val="auto"/>
          <w:sz w:val="24"/>
        </w:rPr>
      </w:pPr>
      <w:r>
        <w:rPr>
          <w:rFonts w:hint="eastAsia" w:ascii="宋体"/>
          <w:color w:val="auto"/>
          <w:sz w:val="24"/>
        </w:rPr>
        <w:t xml:space="preserve">全权代表姓名：       </w:t>
      </w:r>
    </w:p>
    <w:p w14:paraId="1D831BF6">
      <w:pPr>
        <w:spacing w:line="360" w:lineRule="auto"/>
        <w:rPr>
          <w:color w:val="auto"/>
          <w:sz w:val="24"/>
        </w:rPr>
      </w:pPr>
      <w:r>
        <w:rPr>
          <w:rFonts w:hint="eastAsia" w:ascii="宋体"/>
          <w:color w:val="auto"/>
          <w:sz w:val="24"/>
        </w:rPr>
        <w:t xml:space="preserve">职务：                           </w:t>
      </w:r>
    </w:p>
    <w:p w14:paraId="77D46921">
      <w:pPr>
        <w:spacing w:line="360" w:lineRule="auto"/>
        <w:rPr>
          <w:color w:val="auto"/>
          <w:sz w:val="24"/>
        </w:rPr>
      </w:pPr>
      <w:r>
        <w:rPr>
          <w:rFonts w:hint="eastAsia" w:ascii="宋体"/>
          <w:color w:val="auto"/>
          <w:sz w:val="24"/>
        </w:rPr>
        <w:t>传真：</w:t>
      </w:r>
    </w:p>
    <w:p w14:paraId="500A6049">
      <w:pPr>
        <w:spacing w:line="360" w:lineRule="auto"/>
        <w:rPr>
          <w:rFonts w:ascii="宋体"/>
          <w:color w:val="auto"/>
          <w:sz w:val="24"/>
        </w:rPr>
      </w:pPr>
      <w:r>
        <w:rPr>
          <w:rFonts w:hint="eastAsia" w:ascii="宋体"/>
          <w:color w:val="auto"/>
          <w:sz w:val="24"/>
        </w:rPr>
        <w:t>电话：</w:t>
      </w:r>
    </w:p>
    <w:p w14:paraId="76F56735">
      <w:pPr>
        <w:spacing w:line="360" w:lineRule="auto"/>
        <w:rPr>
          <w:color w:val="auto"/>
          <w:sz w:val="24"/>
        </w:rPr>
      </w:pPr>
      <w:r>
        <w:rPr>
          <w:rFonts w:hint="eastAsia" w:ascii="宋体"/>
          <w:color w:val="auto"/>
          <w:sz w:val="24"/>
        </w:rPr>
        <w:t>详细通讯地址：</w:t>
      </w:r>
    </w:p>
    <w:p w14:paraId="3F1E78DA">
      <w:pPr>
        <w:spacing w:line="360" w:lineRule="auto"/>
        <w:rPr>
          <w:rFonts w:hint="eastAsia" w:ascii="宋体" w:hAnsi="宋体"/>
          <w:b/>
          <w:color w:val="auto"/>
          <w:sz w:val="24"/>
        </w:rPr>
        <w:sectPr>
          <w:headerReference r:id="rId8" w:type="default"/>
          <w:footerReference r:id="rId9" w:type="default"/>
          <w:pgSz w:w="11906" w:h="16838"/>
          <w:pgMar w:top="1270" w:right="1440" w:bottom="1100" w:left="1440" w:header="850" w:footer="68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color w:val="auto"/>
          <w:sz w:val="24"/>
        </w:rPr>
        <w:t>邮政编码：</w:t>
      </w:r>
    </w:p>
    <w:p w14:paraId="426E3779">
      <w:pPr>
        <w:pStyle w:val="5"/>
        <w:spacing w:beforeLines="100" w:line="360" w:lineRule="auto"/>
        <w:ind w:left="720" w:leftChars="200" w:firstLine="2249" w:firstLineChars="700"/>
        <w:rPr>
          <w:rFonts w:ascii="宋体" w:hAnsi="宋体" w:eastAsia="宋体"/>
          <w:bCs w:val="0"/>
          <w:color w:val="auto"/>
          <w:lang w:val="zh-CN"/>
        </w:rPr>
      </w:pPr>
      <w:r>
        <w:rPr>
          <w:rFonts w:hint="eastAsia" w:ascii="宋体" w:hAnsi="宋体" w:eastAsia="宋体"/>
          <w:bCs w:val="0"/>
          <w:color w:val="auto"/>
        </w:rPr>
        <w:t>2、</w:t>
      </w:r>
      <w:r>
        <w:rPr>
          <w:rFonts w:hint="eastAsia" w:ascii="宋体" w:hAnsi="宋体" w:eastAsia="宋体"/>
          <w:bCs w:val="0"/>
          <w:color w:val="auto"/>
          <w:lang w:val="zh-CN"/>
        </w:rPr>
        <w:t>商务与技术文件格式</w:t>
      </w:r>
    </w:p>
    <w:p w14:paraId="6CAC9610">
      <w:pPr>
        <w:spacing w:before="100" w:beforeAutospacing="1" w:line="360" w:lineRule="auto"/>
        <w:jc w:val="center"/>
        <w:rPr>
          <w:rFonts w:ascii="宋体" w:hAnsi="宋体"/>
          <w:b/>
          <w:bCs/>
          <w:color w:val="auto"/>
          <w:sz w:val="32"/>
          <w:szCs w:val="32"/>
        </w:rPr>
      </w:pPr>
      <w:r>
        <w:rPr>
          <w:rFonts w:hint="eastAsia" w:ascii="宋体" w:hAnsi="宋体"/>
          <w:b/>
          <w:bCs/>
          <w:color w:val="auto"/>
          <w:sz w:val="32"/>
          <w:szCs w:val="32"/>
        </w:rPr>
        <w:t>目  录</w:t>
      </w:r>
    </w:p>
    <w:p w14:paraId="2666C0D5">
      <w:pPr>
        <w:pStyle w:val="8"/>
        <w:spacing w:line="360" w:lineRule="auto"/>
        <w:ind w:firstLine="960" w:firstLineChars="400"/>
        <w:jc w:val="left"/>
        <w:rPr>
          <w:rFonts w:ascii="宋体" w:hAnsi="宋体" w:eastAsia="宋体" w:cs="宋体"/>
          <w:b/>
          <w:bCs/>
          <w:color w:val="auto"/>
          <w:sz w:val="24"/>
          <w:szCs w:val="24"/>
        </w:rPr>
      </w:pPr>
      <w:r>
        <w:rPr>
          <w:rFonts w:hint="eastAsia" w:ascii="宋体" w:hAnsi="宋体"/>
          <w:color w:val="auto"/>
          <w:sz w:val="24"/>
        </w:rPr>
        <w:t>（按照“第三部分 磋商须知”有关</w:t>
      </w:r>
      <w:r>
        <w:rPr>
          <w:rFonts w:hint="eastAsia" w:ascii="宋体" w:hAnsi="宋体"/>
          <w:color w:val="auto"/>
          <w:sz w:val="24"/>
          <w:lang w:val="zh-CN"/>
        </w:rPr>
        <w:t>商务与技术文件组成</w:t>
      </w:r>
      <w:r>
        <w:rPr>
          <w:rFonts w:hint="eastAsia" w:ascii="宋体" w:hAnsi="宋体"/>
          <w:color w:val="auto"/>
          <w:sz w:val="24"/>
        </w:rPr>
        <w:t>要求编排）</w:t>
      </w:r>
    </w:p>
    <w:p w14:paraId="24262542">
      <w:pPr>
        <w:spacing w:line="360" w:lineRule="auto"/>
        <w:ind w:firstLine="5760" w:firstLineChars="2400"/>
        <w:jc w:val="left"/>
        <w:rPr>
          <w:rFonts w:ascii="宋体" w:hAnsi="宋体" w:cs="宋体"/>
          <w:color w:val="auto"/>
          <w:sz w:val="24"/>
        </w:rPr>
      </w:pPr>
    </w:p>
    <w:p w14:paraId="672F8393">
      <w:pPr>
        <w:pStyle w:val="13"/>
        <w:adjustRightInd w:val="0"/>
        <w:snapToGrid w:val="0"/>
        <w:spacing w:before="120" w:after="120"/>
        <w:rPr>
          <w:rFonts w:hAnsi="宋体" w:eastAsia="宋体" w:cs="宋体"/>
          <w:b/>
          <w:bCs/>
          <w:color w:val="auto"/>
          <w:sz w:val="24"/>
          <w:szCs w:val="24"/>
        </w:rPr>
      </w:pPr>
    </w:p>
    <w:p w14:paraId="172D6C3A">
      <w:pPr>
        <w:pStyle w:val="13"/>
        <w:adjustRightInd w:val="0"/>
        <w:snapToGrid w:val="0"/>
        <w:spacing w:before="120" w:after="120"/>
        <w:jc w:val="center"/>
        <w:rPr>
          <w:rFonts w:hAnsi="宋体" w:eastAsia="宋体" w:cs="宋体"/>
          <w:b/>
          <w:bCs/>
          <w:color w:val="auto"/>
          <w:sz w:val="24"/>
          <w:szCs w:val="24"/>
        </w:rPr>
      </w:pPr>
    </w:p>
    <w:p w14:paraId="08F4F416">
      <w:pPr>
        <w:pStyle w:val="13"/>
        <w:adjustRightInd w:val="0"/>
        <w:snapToGrid w:val="0"/>
        <w:spacing w:before="120" w:after="120"/>
        <w:jc w:val="center"/>
        <w:rPr>
          <w:rFonts w:hAnsi="宋体" w:eastAsia="宋体" w:cs="宋体"/>
          <w:b/>
          <w:bCs/>
          <w:color w:val="auto"/>
          <w:sz w:val="24"/>
          <w:szCs w:val="24"/>
        </w:rPr>
      </w:pPr>
    </w:p>
    <w:p w14:paraId="294EE82A">
      <w:pPr>
        <w:pStyle w:val="13"/>
        <w:adjustRightInd w:val="0"/>
        <w:snapToGrid w:val="0"/>
        <w:spacing w:before="120" w:after="120"/>
        <w:jc w:val="center"/>
        <w:rPr>
          <w:rFonts w:hAnsi="宋体" w:eastAsia="宋体" w:cs="宋体"/>
          <w:b/>
          <w:bCs/>
          <w:color w:val="auto"/>
          <w:sz w:val="24"/>
          <w:szCs w:val="24"/>
        </w:rPr>
      </w:pPr>
    </w:p>
    <w:p w14:paraId="2B370832">
      <w:pPr>
        <w:pStyle w:val="13"/>
        <w:adjustRightInd w:val="0"/>
        <w:snapToGrid w:val="0"/>
        <w:spacing w:before="120" w:after="120"/>
        <w:jc w:val="center"/>
        <w:rPr>
          <w:rFonts w:hAnsi="宋体" w:eastAsia="宋体" w:cs="宋体"/>
          <w:b/>
          <w:bCs/>
          <w:color w:val="auto"/>
          <w:sz w:val="24"/>
          <w:szCs w:val="24"/>
        </w:rPr>
      </w:pPr>
    </w:p>
    <w:p w14:paraId="421E6D7F">
      <w:pPr>
        <w:pStyle w:val="13"/>
        <w:adjustRightInd w:val="0"/>
        <w:snapToGrid w:val="0"/>
        <w:spacing w:before="120" w:after="120"/>
        <w:jc w:val="center"/>
        <w:rPr>
          <w:rFonts w:hAnsi="宋体" w:eastAsia="宋体" w:cs="宋体"/>
          <w:b/>
          <w:bCs/>
          <w:color w:val="auto"/>
          <w:sz w:val="24"/>
          <w:szCs w:val="24"/>
        </w:rPr>
      </w:pPr>
    </w:p>
    <w:p w14:paraId="563341A6">
      <w:pPr>
        <w:pStyle w:val="13"/>
        <w:adjustRightInd w:val="0"/>
        <w:snapToGrid w:val="0"/>
        <w:spacing w:before="120" w:after="120"/>
        <w:jc w:val="center"/>
        <w:rPr>
          <w:rFonts w:hAnsi="宋体" w:eastAsia="宋体" w:cs="宋体"/>
          <w:b/>
          <w:bCs/>
          <w:color w:val="auto"/>
          <w:sz w:val="24"/>
          <w:szCs w:val="24"/>
        </w:rPr>
      </w:pPr>
    </w:p>
    <w:p w14:paraId="752A648F">
      <w:pPr>
        <w:pStyle w:val="13"/>
        <w:adjustRightInd w:val="0"/>
        <w:snapToGrid w:val="0"/>
        <w:spacing w:before="120" w:after="120"/>
        <w:jc w:val="center"/>
        <w:rPr>
          <w:rFonts w:hAnsi="宋体" w:eastAsia="宋体" w:cs="宋体"/>
          <w:b/>
          <w:bCs/>
          <w:color w:val="auto"/>
          <w:sz w:val="24"/>
          <w:szCs w:val="24"/>
        </w:rPr>
      </w:pPr>
    </w:p>
    <w:p w14:paraId="5C207283">
      <w:pPr>
        <w:pStyle w:val="13"/>
        <w:adjustRightInd w:val="0"/>
        <w:snapToGrid w:val="0"/>
        <w:spacing w:before="120" w:after="120"/>
        <w:jc w:val="center"/>
        <w:rPr>
          <w:rFonts w:hAnsi="宋体" w:eastAsia="宋体" w:cs="宋体"/>
          <w:b/>
          <w:bCs/>
          <w:color w:val="auto"/>
          <w:sz w:val="24"/>
          <w:szCs w:val="24"/>
        </w:rPr>
      </w:pPr>
    </w:p>
    <w:p w14:paraId="34C6BD8B">
      <w:pPr>
        <w:pStyle w:val="13"/>
        <w:adjustRightInd w:val="0"/>
        <w:snapToGrid w:val="0"/>
        <w:spacing w:before="120" w:after="120"/>
        <w:jc w:val="center"/>
        <w:rPr>
          <w:rFonts w:hAnsi="宋体" w:eastAsia="宋体" w:cs="宋体"/>
          <w:b/>
          <w:bCs/>
          <w:color w:val="auto"/>
          <w:sz w:val="24"/>
          <w:szCs w:val="24"/>
        </w:rPr>
      </w:pPr>
    </w:p>
    <w:p w14:paraId="6C7E92CF">
      <w:pPr>
        <w:pStyle w:val="13"/>
        <w:adjustRightInd w:val="0"/>
        <w:snapToGrid w:val="0"/>
        <w:spacing w:before="120" w:after="120"/>
        <w:jc w:val="center"/>
        <w:rPr>
          <w:rFonts w:hAnsi="宋体" w:eastAsia="宋体" w:cs="宋体"/>
          <w:b/>
          <w:bCs/>
          <w:color w:val="auto"/>
          <w:sz w:val="24"/>
          <w:szCs w:val="24"/>
        </w:rPr>
      </w:pPr>
    </w:p>
    <w:p w14:paraId="566E9331">
      <w:pPr>
        <w:pStyle w:val="13"/>
        <w:adjustRightInd w:val="0"/>
        <w:snapToGrid w:val="0"/>
        <w:spacing w:before="120" w:after="120"/>
        <w:jc w:val="center"/>
        <w:rPr>
          <w:rFonts w:hAnsi="宋体" w:eastAsia="宋体" w:cs="宋体"/>
          <w:b/>
          <w:bCs/>
          <w:color w:val="auto"/>
          <w:sz w:val="24"/>
          <w:szCs w:val="24"/>
        </w:rPr>
      </w:pPr>
    </w:p>
    <w:p w14:paraId="083B9806">
      <w:pPr>
        <w:pStyle w:val="13"/>
        <w:adjustRightInd w:val="0"/>
        <w:snapToGrid w:val="0"/>
        <w:spacing w:before="120" w:after="120"/>
        <w:jc w:val="center"/>
        <w:rPr>
          <w:rFonts w:hAnsi="宋体" w:eastAsia="宋体" w:cs="宋体"/>
          <w:b/>
          <w:bCs/>
          <w:color w:val="auto"/>
          <w:sz w:val="24"/>
          <w:szCs w:val="24"/>
        </w:rPr>
      </w:pPr>
    </w:p>
    <w:p w14:paraId="63385605">
      <w:pPr>
        <w:pStyle w:val="13"/>
        <w:adjustRightInd w:val="0"/>
        <w:snapToGrid w:val="0"/>
        <w:spacing w:before="120" w:after="120"/>
        <w:jc w:val="center"/>
        <w:rPr>
          <w:rFonts w:hAnsi="宋体" w:eastAsia="宋体" w:cs="宋体"/>
          <w:b/>
          <w:bCs/>
          <w:color w:val="auto"/>
          <w:sz w:val="24"/>
          <w:szCs w:val="24"/>
        </w:rPr>
      </w:pPr>
    </w:p>
    <w:p w14:paraId="36EE3CA8">
      <w:pPr>
        <w:pStyle w:val="13"/>
        <w:adjustRightInd w:val="0"/>
        <w:snapToGrid w:val="0"/>
        <w:spacing w:before="120" w:after="120"/>
        <w:jc w:val="center"/>
        <w:rPr>
          <w:rFonts w:hAnsi="宋体" w:eastAsia="宋体" w:cs="宋体"/>
          <w:b/>
          <w:bCs/>
          <w:color w:val="auto"/>
          <w:sz w:val="24"/>
          <w:szCs w:val="24"/>
        </w:rPr>
      </w:pPr>
    </w:p>
    <w:p w14:paraId="3497808E">
      <w:pPr>
        <w:pStyle w:val="13"/>
        <w:adjustRightInd w:val="0"/>
        <w:snapToGrid w:val="0"/>
        <w:spacing w:before="120" w:after="120"/>
        <w:jc w:val="center"/>
        <w:rPr>
          <w:rFonts w:hAnsi="宋体" w:eastAsia="宋体" w:cs="宋体"/>
          <w:b/>
          <w:bCs/>
          <w:color w:val="auto"/>
          <w:sz w:val="24"/>
          <w:szCs w:val="24"/>
        </w:rPr>
      </w:pPr>
    </w:p>
    <w:p w14:paraId="7731AF99">
      <w:pPr>
        <w:pStyle w:val="13"/>
        <w:adjustRightInd w:val="0"/>
        <w:snapToGrid w:val="0"/>
        <w:spacing w:before="120" w:after="120"/>
        <w:jc w:val="left"/>
        <w:rPr>
          <w:rFonts w:hAnsi="宋体" w:eastAsia="宋体" w:cs="宋体"/>
          <w:b/>
          <w:bCs/>
          <w:color w:val="auto"/>
          <w:sz w:val="24"/>
          <w:szCs w:val="24"/>
        </w:rPr>
      </w:pPr>
    </w:p>
    <w:p w14:paraId="0BE637F9">
      <w:pPr>
        <w:pStyle w:val="14"/>
        <w:ind w:left="9000"/>
        <w:rPr>
          <w:color w:val="auto"/>
        </w:rPr>
      </w:pPr>
    </w:p>
    <w:p w14:paraId="50FD3632">
      <w:pPr>
        <w:snapToGrid w:val="0"/>
        <w:jc w:val="left"/>
        <w:rPr>
          <w:rFonts w:ascii="宋体" w:hAnsi="宋体" w:eastAsia="宋体" w:cs="宋体"/>
          <w:color w:val="auto"/>
          <w:sz w:val="24"/>
        </w:rPr>
      </w:pPr>
    </w:p>
    <w:p w14:paraId="53069C06">
      <w:pPr>
        <w:pStyle w:val="13"/>
        <w:spacing w:line="360" w:lineRule="auto"/>
        <w:outlineLvl w:val="1"/>
        <w:rPr>
          <w:rFonts w:hAnsi="宋体" w:eastAsia="宋体" w:cs="宋体"/>
          <w:b/>
          <w:color w:val="auto"/>
          <w:sz w:val="24"/>
          <w:szCs w:val="24"/>
        </w:rPr>
      </w:pPr>
    </w:p>
    <w:p w14:paraId="2A093ED4">
      <w:pPr>
        <w:pStyle w:val="13"/>
        <w:spacing w:line="360" w:lineRule="auto"/>
        <w:outlineLvl w:val="1"/>
        <w:rPr>
          <w:rFonts w:hAnsi="宋体" w:eastAsia="宋体" w:cs="宋体"/>
          <w:b/>
          <w:color w:val="auto"/>
          <w:szCs w:val="21"/>
        </w:rPr>
      </w:pPr>
    </w:p>
    <w:p w14:paraId="512EB31A">
      <w:pPr>
        <w:pStyle w:val="14"/>
        <w:ind w:left="9000"/>
        <w:rPr>
          <w:rFonts w:eastAsiaTheme="minorEastAsia"/>
          <w:color w:val="auto"/>
        </w:rPr>
      </w:pPr>
    </w:p>
    <w:p w14:paraId="6DE179F8">
      <w:pPr>
        <w:rPr>
          <w:rFonts w:eastAsiaTheme="minorEastAsia"/>
          <w:color w:val="auto"/>
        </w:rPr>
      </w:pPr>
    </w:p>
    <w:p w14:paraId="615BB012">
      <w:pPr>
        <w:pStyle w:val="13"/>
        <w:spacing w:line="360" w:lineRule="auto"/>
        <w:outlineLvl w:val="1"/>
        <w:rPr>
          <w:rFonts w:hAnsi="宋体" w:eastAsia="宋体" w:cs="宋体"/>
          <w:b/>
          <w:color w:val="auto"/>
          <w:szCs w:val="21"/>
        </w:rPr>
      </w:pPr>
    </w:p>
    <w:p w14:paraId="06D890AD">
      <w:pPr>
        <w:pStyle w:val="14"/>
        <w:ind w:left="9000"/>
        <w:rPr>
          <w:color w:val="auto"/>
        </w:rPr>
      </w:pPr>
    </w:p>
    <w:p w14:paraId="77520B26">
      <w:pPr>
        <w:pStyle w:val="13"/>
        <w:spacing w:line="360" w:lineRule="auto"/>
        <w:outlineLvl w:val="1"/>
        <w:rPr>
          <w:rFonts w:hAnsi="宋体" w:eastAsia="宋体" w:cs="宋体"/>
          <w:b/>
          <w:color w:val="auto"/>
          <w:szCs w:val="21"/>
        </w:rPr>
      </w:pPr>
    </w:p>
    <w:p w14:paraId="50483F33">
      <w:pPr>
        <w:widowControl/>
        <w:spacing w:line="340" w:lineRule="exact"/>
        <w:rPr>
          <w:rFonts w:ascii="宋体" w:hAnsi="宋体" w:eastAsia="宋体" w:cs="宋体"/>
          <w:b/>
          <w:color w:val="auto"/>
          <w:kern w:val="0"/>
          <w:sz w:val="24"/>
        </w:rPr>
      </w:pPr>
      <w:r>
        <w:rPr>
          <w:rFonts w:hint="eastAsia" w:ascii="宋体" w:hAnsi="宋体" w:eastAsia="宋体" w:cs="宋体"/>
          <w:b/>
          <w:color w:val="auto"/>
          <w:kern w:val="0"/>
          <w:sz w:val="24"/>
        </w:rPr>
        <w:t>附件</w:t>
      </w:r>
      <w:r>
        <w:rPr>
          <w:rFonts w:hint="eastAsia" w:ascii="宋体" w:hAnsi="宋体" w:eastAsia="宋体" w:cs="宋体"/>
          <w:b/>
          <w:color w:val="auto"/>
          <w:kern w:val="0"/>
          <w:sz w:val="24"/>
          <w:lang w:eastAsia="zh-CN"/>
        </w:rPr>
        <w:t>三</w:t>
      </w:r>
      <w:r>
        <w:rPr>
          <w:rFonts w:hint="eastAsia" w:ascii="宋体" w:hAnsi="宋体" w:eastAsia="宋体" w:cs="宋体"/>
          <w:b/>
          <w:color w:val="auto"/>
          <w:kern w:val="0"/>
          <w:sz w:val="24"/>
        </w:rPr>
        <w:t>：</w:t>
      </w:r>
    </w:p>
    <w:p w14:paraId="080A2221">
      <w:pPr>
        <w:widowControl/>
        <w:adjustRightInd w:val="0"/>
        <w:jc w:val="center"/>
        <w:rPr>
          <w:b/>
          <w:bCs/>
          <w:color w:val="auto"/>
          <w:kern w:val="0"/>
          <w:sz w:val="44"/>
          <w:szCs w:val="44"/>
        </w:rPr>
      </w:pPr>
    </w:p>
    <w:p w14:paraId="7D63EFAE">
      <w:pPr>
        <w:widowControl/>
        <w:adjustRightInd w:val="0"/>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供应商基本情况表</w:t>
      </w:r>
    </w:p>
    <w:p w14:paraId="3FAE868E">
      <w:pPr>
        <w:widowControl/>
        <w:adjustRightInd w:val="0"/>
        <w:rPr>
          <w:b/>
          <w:color w:val="auto"/>
          <w:kern w:val="0"/>
          <w:sz w:val="24"/>
        </w:rPr>
      </w:pPr>
    </w:p>
    <w:tbl>
      <w:tblPr>
        <w:tblStyle w:val="26"/>
        <w:tblW w:w="9493" w:type="dxa"/>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5E558F3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90C4E3B">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0A7FE752">
            <w:pPr>
              <w:adjustRightInd w:val="0"/>
              <w:jc w:val="center"/>
              <w:rPr>
                <w:rFonts w:ascii="宋体" w:hAnsi="宋体" w:eastAsia="宋体" w:cs="宋体"/>
                <w:color w:val="auto"/>
                <w:sz w:val="21"/>
                <w:szCs w:val="21"/>
              </w:rPr>
            </w:pPr>
          </w:p>
        </w:tc>
      </w:tr>
      <w:tr w14:paraId="540343F8">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613DD4A">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3A2FAF45">
            <w:pPr>
              <w:adjustRightInd w:val="0"/>
              <w:jc w:val="center"/>
              <w:rPr>
                <w:rFonts w:ascii="宋体" w:hAnsi="宋体" w:eastAsia="宋体" w:cs="宋体"/>
                <w:color w:val="auto"/>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28C4BA3">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431FEA7A">
            <w:pPr>
              <w:adjustRightInd w:val="0"/>
              <w:jc w:val="center"/>
              <w:rPr>
                <w:rFonts w:ascii="宋体" w:hAnsi="宋体" w:eastAsia="宋体" w:cs="宋体"/>
                <w:color w:val="auto"/>
                <w:sz w:val="21"/>
                <w:szCs w:val="21"/>
              </w:rPr>
            </w:pPr>
          </w:p>
        </w:tc>
      </w:tr>
      <w:tr w14:paraId="3928F0F2">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157E52C4">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0B542844">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0BDEE69F">
            <w:pPr>
              <w:adjustRightInd w:val="0"/>
              <w:jc w:val="center"/>
              <w:rPr>
                <w:rFonts w:ascii="宋体" w:hAnsi="宋体" w:eastAsia="宋体" w:cs="宋体"/>
                <w:color w:val="auto"/>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041CFC1F">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722D3A8">
            <w:pPr>
              <w:adjustRightInd w:val="0"/>
              <w:jc w:val="center"/>
              <w:rPr>
                <w:rFonts w:ascii="宋体" w:hAnsi="宋体" w:eastAsia="宋体" w:cs="宋体"/>
                <w:color w:val="auto"/>
                <w:sz w:val="21"/>
                <w:szCs w:val="21"/>
              </w:rPr>
            </w:pPr>
          </w:p>
        </w:tc>
      </w:tr>
      <w:tr w14:paraId="2C2CA017">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227DEF7E">
            <w:pPr>
              <w:adjustRightInd w:val="0"/>
              <w:jc w:val="center"/>
              <w:rPr>
                <w:rFonts w:ascii="宋体" w:hAnsi="宋体" w:eastAsia="宋体" w:cs="宋体"/>
                <w:color w:val="auto"/>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775BD69C">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3C97E61C">
            <w:pPr>
              <w:adjustRightInd w:val="0"/>
              <w:jc w:val="center"/>
              <w:rPr>
                <w:rFonts w:ascii="宋体" w:hAnsi="宋体" w:eastAsia="宋体" w:cs="宋体"/>
                <w:color w:val="auto"/>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1A0C679A">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A7431AA">
            <w:pPr>
              <w:adjustRightInd w:val="0"/>
              <w:jc w:val="center"/>
              <w:rPr>
                <w:rFonts w:ascii="宋体" w:hAnsi="宋体" w:eastAsia="宋体" w:cs="宋体"/>
                <w:color w:val="auto"/>
                <w:sz w:val="21"/>
                <w:szCs w:val="21"/>
              </w:rPr>
            </w:pPr>
          </w:p>
        </w:tc>
      </w:tr>
      <w:tr w14:paraId="59EB5E4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9350874">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175C9B50">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04D227C">
            <w:pPr>
              <w:adjustRightInd w:val="0"/>
              <w:jc w:val="center"/>
              <w:rPr>
                <w:rFonts w:ascii="宋体" w:hAnsi="宋体" w:eastAsia="宋体" w:cs="宋体"/>
                <w:color w:val="auto"/>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50354180">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44E0FC4C">
            <w:pPr>
              <w:adjustRightInd w:val="0"/>
              <w:jc w:val="center"/>
              <w:rPr>
                <w:rFonts w:ascii="宋体" w:hAnsi="宋体" w:eastAsia="宋体" w:cs="宋体"/>
                <w:color w:val="auto"/>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4091D1F2">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50383FC3">
            <w:pPr>
              <w:adjustRightInd w:val="0"/>
              <w:jc w:val="center"/>
              <w:rPr>
                <w:rFonts w:ascii="宋体" w:hAnsi="宋体" w:eastAsia="宋体" w:cs="宋体"/>
                <w:color w:val="auto"/>
                <w:sz w:val="21"/>
                <w:szCs w:val="21"/>
              </w:rPr>
            </w:pPr>
          </w:p>
        </w:tc>
      </w:tr>
      <w:tr w14:paraId="26299E7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081E553">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4390C7CB">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44338A0">
            <w:pPr>
              <w:adjustRightInd w:val="0"/>
              <w:jc w:val="center"/>
              <w:rPr>
                <w:rFonts w:ascii="宋体" w:hAnsi="宋体" w:eastAsia="宋体" w:cs="宋体"/>
                <w:color w:val="auto"/>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317D96A5">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04303164">
            <w:pPr>
              <w:adjustRightInd w:val="0"/>
              <w:jc w:val="center"/>
              <w:rPr>
                <w:rFonts w:ascii="宋体" w:hAnsi="宋体" w:eastAsia="宋体" w:cs="宋体"/>
                <w:color w:val="auto"/>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364BC88">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29AB4104">
            <w:pPr>
              <w:adjustRightInd w:val="0"/>
              <w:jc w:val="center"/>
              <w:rPr>
                <w:rFonts w:ascii="宋体" w:hAnsi="宋体" w:eastAsia="宋体" w:cs="宋体"/>
                <w:color w:val="auto"/>
                <w:sz w:val="21"/>
                <w:szCs w:val="21"/>
              </w:rPr>
            </w:pPr>
          </w:p>
        </w:tc>
      </w:tr>
      <w:tr w14:paraId="4C9ED90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D9FB861">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C2DE825">
            <w:pPr>
              <w:adjustRightInd w:val="0"/>
              <w:jc w:val="center"/>
              <w:rPr>
                <w:rFonts w:ascii="宋体" w:hAnsi="宋体" w:eastAsia="宋体" w:cs="宋体"/>
                <w:color w:val="auto"/>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0A95504B">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A79B1F7">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6749E831">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FDB4CA8">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5BE76768">
            <w:pPr>
              <w:adjustRightInd w:val="0"/>
              <w:jc w:val="center"/>
              <w:rPr>
                <w:rFonts w:ascii="宋体" w:hAnsi="宋体" w:eastAsia="宋体" w:cs="宋体"/>
                <w:color w:val="auto"/>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6D96897E">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0F2D1840">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4C1CAC6">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288D3CA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3EAD061">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395D854">
            <w:pPr>
              <w:adjustRightInd w:val="0"/>
              <w:jc w:val="center"/>
              <w:rPr>
                <w:rFonts w:ascii="宋体" w:hAnsi="宋体" w:eastAsia="宋体" w:cs="宋体"/>
                <w:color w:val="auto"/>
                <w:sz w:val="21"/>
                <w:szCs w:val="21"/>
              </w:rPr>
            </w:pPr>
          </w:p>
        </w:tc>
        <w:tc>
          <w:tcPr>
            <w:tcW w:w="690" w:type="dxa"/>
            <w:vMerge w:val="continue"/>
            <w:tcBorders>
              <w:left w:val="single" w:color="auto" w:sz="4" w:space="0"/>
              <w:right w:val="single" w:color="auto" w:sz="4" w:space="0"/>
            </w:tcBorders>
            <w:noWrap/>
            <w:vAlign w:val="center"/>
          </w:tcPr>
          <w:p w14:paraId="38BBD53A">
            <w:pPr>
              <w:adjustRightInd w:val="0"/>
              <w:jc w:val="center"/>
              <w:rPr>
                <w:rFonts w:ascii="宋体" w:hAnsi="宋体" w:eastAsia="宋体" w:cs="宋体"/>
                <w:color w:val="auto"/>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6A960798">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DC47FE0">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109CCEB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D5EE28C">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20B2D68C">
            <w:pPr>
              <w:adjustRightInd w:val="0"/>
              <w:jc w:val="center"/>
              <w:rPr>
                <w:rFonts w:ascii="宋体" w:hAnsi="宋体" w:eastAsia="宋体" w:cs="宋体"/>
                <w:color w:val="auto"/>
                <w:sz w:val="21"/>
                <w:szCs w:val="21"/>
              </w:rPr>
            </w:pPr>
          </w:p>
        </w:tc>
        <w:tc>
          <w:tcPr>
            <w:tcW w:w="690" w:type="dxa"/>
            <w:vMerge w:val="continue"/>
            <w:tcBorders>
              <w:left w:val="single" w:color="auto" w:sz="4" w:space="0"/>
              <w:right w:val="single" w:color="auto" w:sz="4" w:space="0"/>
            </w:tcBorders>
            <w:noWrap/>
            <w:vAlign w:val="center"/>
          </w:tcPr>
          <w:p w14:paraId="6E090B59">
            <w:pPr>
              <w:adjustRightInd w:val="0"/>
              <w:jc w:val="center"/>
              <w:rPr>
                <w:rFonts w:ascii="宋体" w:hAnsi="宋体" w:eastAsia="宋体" w:cs="宋体"/>
                <w:color w:val="auto"/>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0AED65A3">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23A8B7C">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13104BA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AFDD538">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2784E2CF">
            <w:pPr>
              <w:adjustRightInd w:val="0"/>
              <w:jc w:val="center"/>
              <w:rPr>
                <w:rFonts w:ascii="宋体" w:hAnsi="宋体" w:eastAsia="宋体" w:cs="宋体"/>
                <w:color w:val="auto"/>
                <w:sz w:val="21"/>
                <w:szCs w:val="21"/>
              </w:rPr>
            </w:pPr>
          </w:p>
        </w:tc>
        <w:tc>
          <w:tcPr>
            <w:tcW w:w="690" w:type="dxa"/>
            <w:vMerge w:val="continue"/>
            <w:tcBorders>
              <w:left w:val="single" w:color="auto" w:sz="4" w:space="0"/>
              <w:right w:val="single" w:color="auto" w:sz="4" w:space="0"/>
            </w:tcBorders>
            <w:noWrap/>
            <w:vAlign w:val="center"/>
          </w:tcPr>
          <w:p w14:paraId="217C949F">
            <w:pPr>
              <w:adjustRightInd w:val="0"/>
              <w:jc w:val="center"/>
              <w:rPr>
                <w:rFonts w:ascii="宋体" w:hAnsi="宋体" w:eastAsia="宋体" w:cs="宋体"/>
                <w:color w:val="auto"/>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4107DF4">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468584E">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42CA12A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C56B0C0">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26C18D1">
            <w:pPr>
              <w:adjustRightInd w:val="0"/>
              <w:jc w:val="center"/>
              <w:rPr>
                <w:rFonts w:ascii="宋体" w:hAnsi="宋体" w:eastAsia="宋体" w:cs="宋体"/>
                <w:color w:val="auto"/>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4F8509E0">
            <w:pPr>
              <w:adjustRightInd w:val="0"/>
              <w:jc w:val="center"/>
              <w:rPr>
                <w:rFonts w:ascii="宋体" w:hAnsi="宋体" w:eastAsia="宋体" w:cs="宋体"/>
                <w:color w:val="auto"/>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F182A5F">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C90508B">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人</w:t>
            </w:r>
          </w:p>
        </w:tc>
      </w:tr>
      <w:tr w14:paraId="1B333FC8">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41355B3">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707EBAB4">
            <w:pPr>
              <w:adjustRightInd w:val="0"/>
              <w:jc w:val="center"/>
              <w:rPr>
                <w:rFonts w:ascii="宋体" w:hAnsi="宋体" w:eastAsia="宋体" w:cs="宋体"/>
                <w:color w:val="auto"/>
                <w:sz w:val="21"/>
                <w:szCs w:val="21"/>
              </w:rPr>
            </w:pPr>
          </w:p>
        </w:tc>
      </w:tr>
      <w:tr w14:paraId="33CF6A9A">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144E92A">
            <w:pPr>
              <w:adjustRightInd w:val="0"/>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4156E233">
            <w:pPr>
              <w:adjustRightInd w:val="0"/>
              <w:jc w:val="center"/>
              <w:rPr>
                <w:rFonts w:ascii="宋体" w:hAnsi="宋体" w:eastAsia="宋体" w:cs="宋体"/>
                <w:color w:val="auto"/>
                <w:sz w:val="21"/>
                <w:szCs w:val="21"/>
              </w:rPr>
            </w:pPr>
          </w:p>
        </w:tc>
      </w:tr>
    </w:tbl>
    <w:p w14:paraId="23E70A88">
      <w:pPr>
        <w:pStyle w:val="13"/>
        <w:spacing w:before="60" w:after="60" w:line="500" w:lineRule="exact"/>
        <w:ind w:firstLine="4320" w:firstLineChars="1800"/>
        <w:rPr>
          <w:rFonts w:hAnsi="宋体" w:cs="宋体"/>
          <w:color w:val="auto"/>
          <w:sz w:val="24"/>
        </w:rPr>
      </w:pPr>
      <w:r>
        <w:rPr>
          <w:rFonts w:hint="eastAsia" w:hAnsi="宋体" w:cs="宋体"/>
          <w:color w:val="auto"/>
          <w:sz w:val="24"/>
        </w:rPr>
        <w:t>磋商供应商代表</w:t>
      </w:r>
      <w:r>
        <w:rPr>
          <w:rFonts w:hint="eastAsia" w:ascii="宋体" w:hAnsi="宋体" w:eastAsia="宋体" w:cs="宋体"/>
          <w:color w:val="auto"/>
          <w:sz w:val="24"/>
        </w:rPr>
        <w:t>（签字或盖章）</w:t>
      </w:r>
      <w:r>
        <w:rPr>
          <w:rFonts w:hint="eastAsia" w:hAnsi="宋体" w:cs="宋体"/>
          <w:color w:val="auto"/>
          <w:sz w:val="24"/>
        </w:rPr>
        <w:t>：</w:t>
      </w:r>
    </w:p>
    <w:p w14:paraId="09373661">
      <w:pPr>
        <w:pStyle w:val="13"/>
        <w:jc w:val="center"/>
        <w:rPr>
          <w:rFonts w:hAnsi="宋体" w:eastAsia="宋体" w:cs="宋体"/>
          <w:color w:val="auto"/>
          <w:sz w:val="24"/>
          <w:szCs w:val="24"/>
        </w:rPr>
      </w:pPr>
    </w:p>
    <w:p w14:paraId="1E28D439">
      <w:pPr>
        <w:spacing w:line="360" w:lineRule="auto"/>
        <w:jc w:val="left"/>
        <w:rPr>
          <w:rFonts w:ascii="宋体" w:hAnsi="宋体" w:eastAsia="宋体" w:cs="宋体"/>
          <w:color w:val="auto"/>
          <w:sz w:val="24"/>
        </w:rPr>
      </w:pPr>
      <w:r>
        <w:rPr>
          <w:rFonts w:hint="eastAsia" w:ascii="宋体" w:hAnsi="宋体" w:eastAsia="宋体" w:cs="宋体"/>
          <w:color w:val="auto"/>
          <w:sz w:val="24"/>
        </w:rPr>
        <w:t>                                    磋商供应商名称（盖章）：</w:t>
      </w:r>
    </w:p>
    <w:p w14:paraId="611B8CBE">
      <w:pPr>
        <w:spacing w:line="360" w:lineRule="auto"/>
        <w:ind w:firstLine="4800" w:firstLineChars="2000"/>
        <w:jc w:val="left"/>
        <w:rPr>
          <w:rFonts w:ascii="宋体" w:hAnsi="宋体" w:eastAsia="宋体" w:cs="宋体"/>
          <w:color w:val="auto"/>
          <w:sz w:val="24"/>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eastAsia="宋体" w:cs="宋体"/>
          <w:color w:val="auto"/>
          <w:sz w:val="24"/>
        </w:rPr>
        <w:t xml:space="preserve"> 日　期：</w:t>
      </w:r>
    </w:p>
    <w:p w14:paraId="52917478">
      <w:pPr>
        <w:pStyle w:val="13"/>
        <w:adjustRightInd w:val="0"/>
        <w:snapToGrid w:val="0"/>
        <w:spacing w:before="156" w:after="156"/>
        <w:rPr>
          <w:rFonts w:hAnsi="宋体" w:cs="宋体"/>
          <w:b/>
          <w:color w:val="auto"/>
          <w:sz w:val="24"/>
          <w:szCs w:val="24"/>
        </w:rPr>
      </w:pPr>
      <w:r>
        <w:rPr>
          <w:rFonts w:hint="eastAsia" w:hAnsi="宋体" w:eastAsia="宋体" w:cs="宋体"/>
          <w:b/>
          <w:bCs/>
          <w:color w:val="auto"/>
          <w:sz w:val="24"/>
          <w:szCs w:val="24"/>
        </w:rPr>
        <w:t>附件</w:t>
      </w:r>
      <w:r>
        <w:rPr>
          <w:rFonts w:hint="eastAsia" w:hAnsi="宋体" w:eastAsia="宋体" w:cs="宋体"/>
          <w:b/>
          <w:bCs/>
          <w:color w:val="auto"/>
          <w:sz w:val="24"/>
          <w:szCs w:val="24"/>
          <w:lang w:eastAsia="zh-CN"/>
        </w:rPr>
        <w:t>四</w:t>
      </w:r>
      <w:r>
        <w:rPr>
          <w:rFonts w:hint="eastAsia" w:hAnsi="宋体" w:eastAsia="宋体" w:cs="宋体"/>
          <w:b/>
          <w:bCs/>
          <w:color w:val="auto"/>
          <w:sz w:val="24"/>
          <w:szCs w:val="24"/>
        </w:rPr>
        <w:t>：</w:t>
      </w:r>
    </w:p>
    <w:p w14:paraId="7B2BF798">
      <w:pPr>
        <w:pStyle w:val="4"/>
        <w:spacing w:line="360" w:lineRule="auto"/>
        <w:jc w:val="center"/>
        <w:rPr>
          <w:rFonts w:ascii="宋体" w:hAnsi="宋体" w:eastAsia="宋体" w:cs="宋体"/>
          <w:color w:val="auto"/>
          <w:sz w:val="32"/>
          <w:szCs w:val="32"/>
        </w:rPr>
      </w:pPr>
      <w:r>
        <w:rPr>
          <w:rFonts w:hint="eastAsia" w:ascii="宋体" w:hAnsi="宋体" w:eastAsia="宋体" w:cs="宋体"/>
          <w:color w:val="auto"/>
          <w:sz w:val="32"/>
          <w:szCs w:val="32"/>
        </w:rPr>
        <w:t>商务响应表</w:t>
      </w:r>
    </w:p>
    <w:tbl>
      <w:tblPr>
        <w:tblStyle w:val="26"/>
        <w:tblW w:w="9377"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764"/>
        <w:gridCol w:w="2000"/>
        <w:gridCol w:w="2966"/>
        <w:gridCol w:w="2339"/>
        <w:gridCol w:w="1308"/>
      </w:tblGrid>
      <w:tr w14:paraId="374D29B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61" w:hRule="atLeast"/>
        </w:trPr>
        <w:tc>
          <w:tcPr>
            <w:tcW w:w="764" w:type="dxa"/>
            <w:tcBorders>
              <w:tl2br w:val="nil"/>
              <w:tr2bl w:val="nil"/>
            </w:tcBorders>
            <w:shd w:val="clear" w:color="auto" w:fill="FEFEFE"/>
            <w:noWrap/>
            <w:vAlign w:val="center"/>
          </w:tcPr>
          <w:p w14:paraId="087DE5C2">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2000" w:type="dxa"/>
            <w:tcBorders>
              <w:tl2br w:val="nil"/>
              <w:tr2bl w:val="nil"/>
            </w:tcBorders>
            <w:shd w:val="clear" w:color="auto" w:fill="FEFEFE"/>
            <w:noWrap/>
            <w:vAlign w:val="center"/>
          </w:tcPr>
          <w:p w14:paraId="1EFDD73D">
            <w:pPr>
              <w:jc w:val="center"/>
              <w:rPr>
                <w:rFonts w:ascii="宋体" w:hAnsi="宋体" w:eastAsia="宋体" w:cs="宋体"/>
                <w:color w:val="auto"/>
                <w:sz w:val="21"/>
                <w:szCs w:val="21"/>
              </w:rPr>
            </w:pPr>
            <w:r>
              <w:rPr>
                <w:rFonts w:hint="eastAsia" w:ascii="宋体" w:hAnsi="宋体" w:eastAsia="宋体" w:cs="宋体"/>
                <w:color w:val="auto"/>
                <w:sz w:val="21"/>
                <w:szCs w:val="21"/>
              </w:rPr>
              <w:t>类别</w:t>
            </w:r>
          </w:p>
        </w:tc>
        <w:tc>
          <w:tcPr>
            <w:tcW w:w="2966" w:type="dxa"/>
            <w:tcBorders>
              <w:tl2br w:val="nil"/>
              <w:tr2bl w:val="nil"/>
            </w:tcBorders>
            <w:shd w:val="clear" w:color="auto" w:fill="FEFEFE"/>
            <w:noWrap/>
            <w:vAlign w:val="center"/>
          </w:tcPr>
          <w:p w14:paraId="23D9D010">
            <w:pPr>
              <w:jc w:val="center"/>
              <w:rPr>
                <w:rFonts w:ascii="宋体" w:hAnsi="宋体" w:eastAsia="宋体" w:cs="宋体"/>
                <w:color w:val="auto"/>
                <w:sz w:val="21"/>
                <w:szCs w:val="21"/>
              </w:rPr>
            </w:pPr>
            <w:r>
              <w:rPr>
                <w:rFonts w:hint="eastAsia" w:ascii="宋体" w:hAnsi="宋体" w:eastAsia="宋体" w:cs="宋体"/>
                <w:color w:val="auto"/>
                <w:sz w:val="21"/>
                <w:szCs w:val="21"/>
              </w:rPr>
              <w:t>磋商文件要求</w:t>
            </w:r>
          </w:p>
        </w:tc>
        <w:tc>
          <w:tcPr>
            <w:tcW w:w="2339" w:type="dxa"/>
            <w:tcBorders>
              <w:tl2br w:val="nil"/>
              <w:tr2bl w:val="nil"/>
            </w:tcBorders>
            <w:shd w:val="clear" w:color="auto" w:fill="FEFEFE"/>
            <w:noWrap/>
            <w:vAlign w:val="center"/>
          </w:tcPr>
          <w:p w14:paraId="3744E37F">
            <w:pPr>
              <w:jc w:val="center"/>
              <w:rPr>
                <w:rFonts w:ascii="宋体" w:hAnsi="宋体" w:eastAsia="宋体" w:cs="宋体"/>
                <w:color w:val="auto"/>
                <w:sz w:val="21"/>
                <w:szCs w:val="21"/>
              </w:rPr>
            </w:pPr>
            <w:r>
              <w:rPr>
                <w:rFonts w:hint="eastAsia" w:ascii="宋体" w:hAnsi="宋体" w:eastAsia="宋体" w:cs="宋体"/>
                <w:color w:val="auto"/>
                <w:sz w:val="21"/>
                <w:szCs w:val="21"/>
              </w:rPr>
              <w:t>供应商承诺</w:t>
            </w:r>
          </w:p>
        </w:tc>
        <w:tc>
          <w:tcPr>
            <w:tcW w:w="1308" w:type="dxa"/>
            <w:tcBorders>
              <w:tl2br w:val="nil"/>
              <w:tr2bl w:val="nil"/>
            </w:tcBorders>
            <w:shd w:val="clear" w:color="auto" w:fill="FEFEFE"/>
            <w:noWrap/>
            <w:vAlign w:val="center"/>
          </w:tcPr>
          <w:p w14:paraId="5D554DBB">
            <w:pPr>
              <w:jc w:val="center"/>
              <w:rPr>
                <w:rFonts w:ascii="宋体" w:hAnsi="宋体" w:eastAsia="宋体" w:cs="宋体"/>
                <w:color w:val="auto"/>
                <w:sz w:val="21"/>
                <w:szCs w:val="21"/>
              </w:rPr>
            </w:pPr>
            <w:r>
              <w:rPr>
                <w:rFonts w:hint="eastAsia" w:ascii="宋体" w:hAnsi="宋体" w:eastAsia="宋体" w:cs="宋体"/>
                <w:color w:val="auto"/>
                <w:sz w:val="21"/>
                <w:szCs w:val="21"/>
              </w:rPr>
              <w:t>是否响应</w:t>
            </w:r>
          </w:p>
        </w:tc>
      </w:tr>
      <w:tr w14:paraId="2FB1893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61" w:hRule="atLeast"/>
        </w:trPr>
        <w:tc>
          <w:tcPr>
            <w:tcW w:w="764" w:type="dxa"/>
            <w:tcBorders>
              <w:tl2br w:val="nil"/>
              <w:tr2bl w:val="nil"/>
            </w:tcBorders>
            <w:shd w:val="clear" w:color="auto" w:fill="FEFEFE"/>
            <w:noWrap/>
            <w:vAlign w:val="center"/>
          </w:tcPr>
          <w:p w14:paraId="6A38BC0A">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2000" w:type="dxa"/>
            <w:tcBorders>
              <w:tl2br w:val="nil"/>
              <w:tr2bl w:val="nil"/>
            </w:tcBorders>
            <w:shd w:val="clear" w:color="auto" w:fill="FEFEFE"/>
            <w:noWrap/>
            <w:vAlign w:val="center"/>
          </w:tcPr>
          <w:p w14:paraId="1574FFD4">
            <w:pPr>
              <w:jc w:val="center"/>
              <w:rPr>
                <w:rFonts w:ascii="宋体" w:hAnsi="宋体" w:eastAsia="宋体" w:cs="宋体"/>
                <w:color w:val="auto"/>
                <w:sz w:val="21"/>
                <w:szCs w:val="21"/>
              </w:rPr>
            </w:pPr>
            <w:r>
              <w:rPr>
                <w:rFonts w:hint="eastAsia" w:ascii="宋体" w:hAnsi="宋体" w:eastAsia="宋体" w:cs="宋体"/>
                <w:color w:val="auto"/>
                <w:sz w:val="21"/>
                <w:szCs w:val="21"/>
              </w:rPr>
              <w:t>项目工期</w:t>
            </w:r>
          </w:p>
        </w:tc>
        <w:tc>
          <w:tcPr>
            <w:tcW w:w="2966" w:type="dxa"/>
            <w:tcBorders>
              <w:tl2br w:val="nil"/>
              <w:tr2bl w:val="nil"/>
            </w:tcBorders>
            <w:shd w:val="clear" w:color="auto" w:fill="FEFEFE"/>
            <w:noWrap/>
            <w:vAlign w:val="center"/>
          </w:tcPr>
          <w:p w14:paraId="5CA381A0">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不超过60日历天</w:t>
            </w:r>
          </w:p>
        </w:tc>
        <w:tc>
          <w:tcPr>
            <w:tcW w:w="2339" w:type="dxa"/>
            <w:tcBorders>
              <w:tl2br w:val="nil"/>
              <w:tr2bl w:val="nil"/>
            </w:tcBorders>
            <w:shd w:val="clear" w:color="auto" w:fill="FEFEFE"/>
            <w:noWrap/>
            <w:vAlign w:val="center"/>
          </w:tcPr>
          <w:p w14:paraId="46E9D00C">
            <w:pPr>
              <w:jc w:val="center"/>
              <w:rPr>
                <w:rFonts w:ascii="宋体" w:hAnsi="宋体" w:eastAsia="宋体" w:cs="宋体"/>
                <w:color w:val="auto"/>
                <w:sz w:val="21"/>
                <w:szCs w:val="21"/>
              </w:rPr>
            </w:pPr>
          </w:p>
        </w:tc>
        <w:tc>
          <w:tcPr>
            <w:tcW w:w="1308" w:type="dxa"/>
            <w:tcBorders>
              <w:tl2br w:val="nil"/>
              <w:tr2bl w:val="nil"/>
            </w:tcBorders>
            <w:shd w:val="clear" w:color="auto" w:fill="FEFEFE"/>
            <w:noWrap/>
            <w:vAlign w:val="center"/>
          </w:tcPr>
          <w:p w14:paraId="7AA85E01">
            <w:pPr>
              <w:jc w:val="center"/>
              <w:rPr>
                <w:rFonts w:ascii="宋体" w:hAnsi="宋体" w:eastAsia="宋体" w:cs="宋体"/>
                <w:color w:val="auto"/>
                <w:sz w:val="21"/>
                <w:szCs w:val="21"/>
              </w:rPr>
            </w:pPr>
          </w:p>
        </w:tc>
      </w:tr>
      <w:tr w14:paraId="033D29C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61" w:hRule="atLeast"/>
        </w:trPr>
        <w:tc>
          <w:tcPr>
            <w:tcW w:w="764" w:type="dxa"/>
            <w:tcBorders>
              <w:tl2br w:val="nil"/>
              <w:tr2bl w:val="nil"/>
            </w:tcBorders>
            <w:shd w:val="clear" w:color="auto" w:fill="FEFEFE"/>
            <w:noWrap/>
            <w:vAlign w:val="center"/>
          </w:tcPr>
          <w:p w14:paraId="2C04A2CC">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2000" w:type="dxa"/>
            <w:tcBorders>
              <w:tl2br w:val="nil"/>
              <w:tr2bl w:val="nil"/>
            </w:tcBorders>
            <w:shd w:val="clear" w:color="auto" w:fill="FEFEFE"/>
            <w:noWrap/>
            <w:vAlign w:val="center"/>
          </w:tcPr>
          <w:p w14:paraId="5EDAEB8C">
            <w:pPr>
              <w:jc w:val="center"/>
              <w:rPr>
                <w:rFonts w:ascii="宋体" w:hAnsi="宋体" w:eastAsia="宋体" w:cs="宋体"/>
                <w:color w:val="auto"/>
                <w:sz w:val="21"/>
                <w:szCs w:val="21"/>
              </w:rPr>
            </w:pPr>
            <w:r>
              <w:rPr>
                <w:rFonts w:ascii="宋体" w:hAnsi="宋体" w:eastAsia="宋体" w:cs="宋体"/>
                <w:color w:val="auto"/>
                <w:sz w:val="21"/>
                <w:szCs w:val="21"/>
              </w:rPr>
              <w:t>质量要求</w:t>
            </w:r>
          </w:p>
        </w:tc>
        <w:tc>
          <w:tcPr>
            <w:tcW w:w="2966" w:type="dxa"/>
            <w:tcBorders>
              <w:tl2br w:val="nil"/>
              <w:tr2bl w:val="nil"/>
            </w:tcBorders>
            <w:shd w:val="clear" w:color="auto" w:fill="FEFEFE"/>
            <w:noWrap/>
            <w:vAlign w:val="center"/>
          </w:tcPr>
          <w:p w14:paraId="3A6F1385">
            <w:pPr>
              <w:rPr>
                <w:rFonts w:ascii="宋体" w:hAnsi="宋体" w:eastAsia="宋体" w:cs="宋体"/>
                <w:color w:val="auto"/>
                <w:sz w:val="21"/>
                <w:szCs w:val="21"/>
              </w:rPr>
            </w:pPr>
            <w:r>
              <w:rPr>
                <w:rFonts w:hint="eastAsia" w:ascii="宋体" w:hAnsi="宋体" w:eastAsia="宋体" w:cs="宋体"/>
                <w:color w:val="auto"/>
                <w:sz w:val="21"/>
                <w:szCs w:val="21"/>
              </w:rPr>
              <w:t>本工程施工严格按照规范要求进行施工，达到各项拟定的设计指标，确保工程质量达到国家合格验收标准。</w:t>
            </w:r>
          </w:p>
        </w:tc>
        <w:tc>
          <w:tcPr>
            <w:tcW w:w="2339" w:type="dxa"/>
            <w:tcBorders>
              <w:tl2br w:val="nil"/>
              <w:tr2bl w:val="nil"/>
            </w:tcBorders>
            <w:shd w:val="clear" w:color="auto" w:fill="FEFEFE"/>
            <w:noWrap/>
            <w:vAlign w:val="center"/>
          </w:tcPr>
          <w:p w14:paraId="1A02F9CE">
            <w:pPr>
              <w:jc w:val="center"/>
              <w:rPr>
                <w:rFonts w:ascii="宋体" w:hAnsi="宋体" w:eastAsia="宋体" w:cs="宋体"/>
                <w:color w:val="auto"/>
                <w:sz w:val="21"/>
                <w:szCs w:val="21"/>
              </w:rPr>
            </w:pPr>
          </w:p>
        </w:tc>
        <w:tc>
          <w:tcPr>
            <w:tcW w:w="1308" w:type="dxa"/>
            <w:tcBorders>
              <w:tl2br w:val="nil"/>
              <w:tr2bl w:val="nil"/>
            </w:tcBorders>
            <w:shd w:val="clear" w:color="auto" w:fill="FEFEFE"/>
            <w:noWrap/>
            <w:vAlign w:val="center"/>
          </w:tcPr>
          <w:p w14:paraId="316F5F60">
            <w:pPr>
              <w:jc w:val="center"/>
              <w:rPr>
                <w:rFonts w:ascii="宋体" w:hAnsi="宋体" w:eastAsia="宋体" w:cs="宋体"/>
                <w:color w:val="auto"/>
                <w:sz w:val="21"/>
                <w:szCs w:val="21"/>
              </w:rPr>
            </w:pPr>
          </w:p>
        </w:tc>
      </w:tr>
      <w:tr w14:paraId="586413E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61" w:hRule="atLeast"/>
        </w:trPr>
        <w:tc>
          <w:tcPr>
            <w:tcW w:w="764" w:type="dxa"/>
            <w:tcBorders>
              <w:tl2br w:val="nil"/>
              <w:tr2bl w:val="nil"/>
            </w:tcBorders>
            <w:shd w:val="clear" w:color="auto" w:fill="FEFEFE"/>
            <w:noWrap/>
            <w:vAlign w:val="center"/>
          </w:tcPr>
          <w:p w14:paraId="3AC62B9E">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2000" w:type="dxa"/>
            <w:tcBorders>
              <w:tl2br w:val="nil"/>
              <w:tr2bl w:val="nil"/>
            </w:tcBorders>
            <w:shd w:val="clear" w:color="auto" w:fill="FEFEFE"/>
            <w:noWrap/>
            <w:vAlign w:val="center"/>
          </w:tcPr>
          <w:p w14:paraId="5262247A">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质保期</w:t>
            </w:r>
          </w:p>
        </w:tc>
        <w:tc>
          <w:tcPr>
            <w:tcW w:w="2966" w:type="dxa"/>
            <w:tcBorders>
              <w:tl2br w:val="nil"/>
              <w:tr2bl w:val="nil"/>
            </w:tcBorders>
            <w:shd w:val="clear" w:color="auto" w:fill="FEFEFE"/>
            <w:noWrap/>
            <w:vAlign w:val="center"/>
          </w:tcPr>
          <w:p w14:paraId="123DABB2">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质保期</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p>
        </w:tc>
        <w:tc>
          <w:tcPr>
            <w:tcW w:w="2339" w:type="dxa"/>
            <w:tcBorders>
              <w:tl2br w:val="nil"/>
              <w:tr2bl w:val="nil"/>
            </w:tcBorders>
            <w:shd w:val="clear" w:color="auto" w:fill="FEFEFE"/>
            <w:noWrap/>
            <w:vAlign w:val="center"/>
          </w:tcPr>
          <w:p w14:paraId="563C2251">
            <w:pPr>
              <w:jc w:val="center"/>
              <w:rPr>
                <w:rFonts w:ascii="宋体" w:hAnsi="宋体" w:eastAsia="宋体" w:cs="宋体"/>
                <w:color w:val="auto"/>
                <w:sz w:val="21"/>
                <w:szCs w:val="21"/>
              </w:rPr>
            </w:pPr>
          </w:p>
        </w:tc>
        <w:tc>
          <w:tcPr>
            <w:tcW w:w="1308" w:type="dxa"/>
            <w:tcBorders>
              <w:tl2br w:val="nil"/>
              <w:tr2bl w:val="nil"/>
            </w:tcBorders>
            <w:shd w:val="clear" w:color="auto" w:fill="FEFEFE"/>
            <w:noWrap/>
            <w:vAlign w:val="center"/>
          </w:tcPr>
          <w:p w14:paraId="7473055A">
            <w:pPr>
              <w:jc w:val="center"/>
              <w:rPr>
                <w:rFonts w:ascii="宋体" w:hAnsi="宋体" w:eastAsia="宋体" w:cs="宋体"/>
                <w:color w:val="auto"/>
                <w:sz w:val="21"/>
                <w:szCs w:val="21"/>
              </w:rPr>
            </w:pPr>
          </w:p>
        </w:tc>
      </w:tr>
      <w:tr w14:paraId="4B468BD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61" w:hRule="atLeast"/>
        </w:trPr>
        <w:tc>
          <w:tcPr>
            <w:tcW w:w="764" w:type="dxa"/>
            <w:tcBorders>
              <w:tl2br w:val="nil"/>
              <w:tr2bl w:val="nil"/>
            </w:tcBorders>
            <w:shd w:val="clear" w:color="auto" w:fill="FEFEFE"/>
            <w:noWrap/>
            <w:vAlign w:val="center"/>
          </w:tcPr>
          <w:p w14:paraId="10EAF457">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2000" w:type="dxa"/>
            <w:tcBorders>
              <w:tl2br w:val="nil"/>
              <w:tr2bl w:val="nil"/>
            </w:tcBorders>
            <w:shd w:val="clear" w:color="auto" w:fill="FEFEFE"/>
            <w:noWrap/>
            <w:vAlign w:val="center"/>
          </w:tcPr>
          <w:p w14:paraId="0087461E">
            <w:pPr>
              <w:jc w:val="center"/>
              <w:rPr>
                <w:rFonts w:ascii="宋体" w:hAnsi="宋体" w:eastAsia="宋体" w:cs="宋体"/>
                <w:color w:val="auto"/>
                <w:sz w:val="21"/>
                <w:szCs w:val="21"/>
              </w:rPr>
            </w:pPr>
            <w:r>
              <w:rPr>
                <w:rFonts w:hint="eastAsia" w:ascii="宋体" w:hAnsi="宋体" w:eastAsia="宋体" w:cs="宋体"/>
                <w:color w:val="auto"/>
                <w:sz w:val="21"/>
                <w:szCs w:val="21"/>
              </w:rPr>
              <w:t>付款方式</w:t>
            </w:r>
          </w:p>
        </w:tc>
        <w:tc>
          <w:tcPr>
            <w:tcW w:w="2966" w:type="dxa"/>
            <w:tcBorders>
              <w:tl2br w:val="nil"/>
              <w:tr2bl w:val="nil"/>
            </w:tcBorders>
            <w:shd w:val="clear" w:color="auto" w:fill="FEFEFE"/>
            <w:noWrap/>
            <w:vAlign w:val="center"/>
          </w:tcPr>
          <w:p w14:paraId="2F755740">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发包人向承包人支付当期工程量价款的</w:t>
            </w:r>
            <w:r>
              <w:rPr>
                <w:rFonts w:hint="eastAsia" w:ascii="宋体" w:hAnsi="宋体" w:eastAsia="宋体" w:cs="宋体"/>
                <w:color w:val="auto"/>
                <w:sz w:val="21"/>
                <w:szCs w:val="21"/>
                <w:lang w:eastAsia="zh-CN"/>
              </w:rPr>
              <w:t>70%工程价款</w:t>
            </w:r>
            <w:r>
              <w:rPr>
                <w:rFonts w:hint="eastAsia" w:ascii="宋体" w:hAnsi="宋体" w:eastAsia="宋体" w:cs="宋体"/>
                <w:color w:val="auto"/>
                <w:sz w:val="21"/>
                <w:szCs w:val="21"/>
              </w:rPr>
              <w:t>（不包含10%预付款），待工程竣工验收合格后，</w:t>
            </w:r>
            <w:r>
              <w:rPr>
                <w:rFonts w:hint="eastAsia" w:ascii="宋体" w:hAnsi="宋体" w:eastAsia="宋体" w:cs="宋体"/>
                <w:color w:val="auto"/>
                <w:sz w:val="21"/>
                <w:szCs w:val="21"/>
                <w:lang w:eastAsia="zh-CN"/>
              </w:rPr>
              <w:t>付至合同价格的85%</w:t>
            </w:r>
            <w:r>
              <w:rPr>
                <w:rFonts w:hint="eastAsia" w:ascii="宋体" w:hAnsi="宋体" w:eastAsia="宋体" w:cs="宋体"/>
                <w:color w:val="auto"/>
                <w:sz w:val="21"/>
                <w:szCs w:val="21"/>
              </w:rPr>
              <w:t>（含预付款），</w:t>
            </w:r>
            <w:r>
              <w:rPr>
                <w:rFonts w:hint="eastAsia" w:ascii="宋体" w:hAnsi="宋体" w:eastAsia="宋体" w:cs="宋体"/>
                <w:color w:val="auto"/>
                <w:sz w:val="21"/>
                <w:szCs w:val="21"/>
                <w:lang w:eastAsia="zh-CN"/>
              </w:rPr>
              <w:t>工程结算经审定后，承包人提交工程质量保证金保函（保证金额为1.5%的工程结算价款）给发包人，然后发包人付清余款。工程实际竣工验收合格后满2年后工程质量保证金保函自动失效。所有款项均在承包人开具正式的税务发票且发包人收到发票后7个工作日内支付。</w:t>
            </w:r>
          </w:p>
        </w:tc>
        <w:tc>
          <w:tcPr>
            <w:tcW w:w="2339" w:type="dxa"/>
            <w:tcBorders>
              <w:tl2br w:val="nil"/>
              <w:tr2bl w:val="nil"/>
            </w:tcBorders>
            <w:shd w:val="clear" w:color="auto" w:fill="FEFEFE"/>
            <w:noWrap/>
            <w:vAlign w:val="center"/>
          </w:tcPr>
          <w:p w14:paraId="77BADF60">
            <w:pPr>
              <w:jc w:val="center"/>
              <w:rPr>
                <w:rFonts w:ascii="宋体" w:hAnsi="宋体" w:eastAsia="宋体" w:cs="宋体"/>
                <w:color w:val="auto"/>
                <w:sz w:val="21"/>
                <w:szCs w:val="21"/>
              </w:rPr>
            </w:pPr>
          </w:p>
        </w:tc>
        <w:tc>
          <w:tcPr>
            <w:tcW w:w="1308" w:type="dxa"/>
            <w:tcBorders>
              <w:tl2br w:val="nil"/>
              <w:tr2bl w:val="nil"/>
            </w:tcBorders>
            <w:shd w:val="clear" w:color="auto" w:fill="FEFEFE"/>
            <w:noWrap/>
            <w:vAlign w:val="center"/>
          </w:tcPr>
          <w:p w14:paraId="12DF858E">
            <w:pPr>
              <w:jc w:val="center"/>
              <w:rPr>
                <w:rFonts w:ascii="宋体" w:hAnsi="宋体" w:eastAsia="宋体" w:cs="宋体"/>
                <w:color w:val="auto"/>
                <w:sz w:val="21"/>
                <w:szCs w:val="21"/>
              </w:rPr>
            </w:pPr>
          </w:p>
        </w:tc>
      </w:tr>
    </w:tbl>
    <w:p w14:paraId="30261257">
      <w:pPr>
        <w:rPr>
          <w:rFonts w:ascii="宋体" w:hAnsi="宋体"/>
          <w:b/>
          <w:bCs/>
          <w:color w:val="auto"/>
          <w:sz w:val="21"/>
          <w:szCs w:val="21"/>
        </w:rPr>
      </w:pPr>
      <w:r>
        <w:rPr>
          <w:rFonts w:hint="eastAsia" w:ascii="宋体" w:hAnsi="宋体"/>
          <w:b/>
          <w:bCs/>
          <w:color w:val="auto"/>
          <w:sz w:val="21"/>
          <w:szCs w:val="21"/>
        </w:rPr>
        <w:t>注：商务响应表中事项在响应谈判文件要求的前提下可提供更优惠的承诺。</w:t>
      </w:r>
    </w:p>
    <w:p w14:paraId="504B3A1B">
      <w:pPr>
        <w:pStyle w:val="13"/>
        <w:spacing w:before="60" w:after="60" w:line="500" w:lineRule="exact"/>
        <w:ind w:firstLine="4410" w:firstLineChars="2100"/>
        <w:rPr>
          <w:rFonts w:hAnsi="宋体" w:cs="宋体"/>
          <w:color w:val="auto"/>
          <w:sz w:val="21"/>
          <w:szCs w:val="21"/>
        </w:rPr>
      </w:pPr>
      <w:r>
        <w:rPr>
          <w:rFonts w:hint="eastAsia" w:hAnsi="宋体" w:cs="宋体"/>
          <w:color w:val="auto"/>
          <w:sz w:val="21"/>
          <w:szCs w:val="21"/>
        </w:rPr>
        <w:t>磋商供应商代表</w:t>
      </w:r>
      <w:r>
        <w:rPr>
          <w:rFonts w:hint="eastAsia" w:ascii="宋体" w:hAnsi="宋体" w:eastAsia="宋体" w:cs="宋体"/>
          <w:color w:val="auto"/>
          <w:sz w:val="21"/>
          <w:szCs w:val="21"/>
        </w:rPr>
        <w:t>（签字或盖章）</w:t>
      </w:r>
      <w:r>
        <w:rPr>
          <w:rFonts w:hint="eastAsia" w:hAnsi="宋体" w:cs="宋体"/>
          <w:color w:val="auto"/>
          <w:sz w:val="21"/>
          <w:szCs w:val="21"/>
        </w:rPr>
        <w:t>：</w:t>
      </w:r>
    </w:p>
    <w:p w14:paraId="0E2C5AFA">
      <w:pPr>
        <w:pStyle w:val="3"/>
        <w:ind w:firstLine="210"/>
        <w:rPr>
          <w:color w:val="auto"/>
          <w:sz w:val="21"/>
          <w:szCs w:val="21"/>
        </w:rPr>
      </w:pPr>
    </w:p>
    <w:p w14:paraId="186ADE6C">
      <w:pPr>
        <w:pStyle w:val="13"/>
        <w:spacing w:line="560" w:lineRule="exact"/>
        <w:ind w:firstLine="5040" w:firstLineChars="2400"/>
        <w:rPr>
          <w:rFonts w:hAnsi="宋体" w:eastAsia="宋体" w:cs="宋体"/>
          <w:color w:val="auto"/>
          <w:szCs w:val="21"/>
          <w:lang w:val="zh-CN"/>
        </w:rPr>
      </w:pPr>
      <w:r>
        <w:rPr>
          <w:rFonts w:hint="eastAsia" w:hAnsi="宋体" w:eastAsia="宋体" w:cs="宋体"/>
          <w:color w:val="auto"/>
          <w:szCs w:val="21"/>
        </w:rPr>
        <w:t>磋商供应商名称（盖章）</w:t>
      </w:r>
      <w:r>
        <w:rPr>
          <w:rFonts w:hint="eastAsia" w:hAnsi="宋体" w:eastAsia="宋体" w:cs="宋体"/>
          <w:color w:val="auto"/>
          <w:szCs w:val="21"/>
          <w:lang w:val="zh-CN"/>
        </w:rPr>
        <w:t>：</w:t>
      </w:r>
    </w:p>
    <w:p w14:paraId="003D3E60">
      <w:pPr>
        <w:spacing w:line="450" w:lineRule="atLeast"/>
        <w:rPr>
          <w:rFonts w:ascii="宋体" w:hAnsi="宋体"/>
          <w:b/>
          <w:color w:val="auto"/>
          <w:sz w:val="28"/>
          <w:szCs w:val="28"/>
        </w:rPr>
      </w:pPr>
      <w:r>
        <w:rPr>
          <w:rFonts w:hint="eastAsia" w:ascii="宋体" w:hAnsi="宋体" w:eastAsia="宋体" w:cs="宋体"/>
          <w:color w:val="auto"/>
          <w:sz w:val="21"/>
          <w:szCs w:val="21"/>
          <w:lang w:val="zh-CN"/>
        </w:rPr>
        <w:t xml:space="preserve">                                                     日 期：</w:t>
      </w:r>
    </w:p>
    <w:p w14:paraId="41118528">
      <w:pPr>
        <w:pStyle w:val="43"/>
        <w:spacing w:line="360" w:lineRule="auto"/>
        <w:rPr>
          <w:rFonts w:ascii="宋体" w:hAnsi="宋体" w:cs="宋体"/>
          <w:b/>
          <w:bCs/>
          <w:color w:val="auto"/>
          <w:sz w:val="24"/>
        </w:rPr>
      </w:pPr>
    </w:p>
    <w:p w14:paraId="4F95ADB3">
      <w:pPr>
        <w:pStyle w:val="43"/>
        <w:spacing w:line="360" w:lineRule="auto"/>
        <w:rPr>
          <w:rFonts w:ascii="宋体" w:hAnsi="宋体" w:cs="宋体"/>
          <w:b/>
          <w:bCs/>
          <w:color w:val="auto"/>
          <w:sz w:val="24"/>
        </w:rPr>
      </w:pPr>
    </w:p>
    <w:p w14:paraId="3F982029">
      <w:pPr>
        <w:pStyle w:val="43"/>
        <w:spacing w:line="360" w:lineRule="auto"/>
        <w:rPr>
          <w:rFonts w:ascii="宋体" w:hAnsi="宋体" w:cs="宋体"/>
          <w:b/>
          <w:bCs/>
          <w:color w:val="auto"/>
          <w:sz w:val="24"/>
        </w:rPr>
      </w:pPr>
    </w:p>
    <w:p w14:paraId="15B9D5FA">
      <w:pPr>
        <w:pStyle w:val="43"/>
        <w:spacing w:line="360" w:lineRule="auto"/>
        <w:rPr>
          <w:rFonts w:ascii="宋体" w:hAnsi="宋体" w:cs="宋体"/>
          <w:b/>
          <w:bCs/>
          <w:color w:val="auto"/>
          <w:sz w:val="24"/>
        </w:rPr>
      </w:pPr>
    </w:p>
    <w:p w14:paraId="16E63CB3">
      <w:pPr>
        <w:pStyle w:val="43"/>
        <w:spacing w:line="360" w:lineRule="auto"/>
        <w:rPr>
          <w:rFonts w:ascii="宋体" w:hAnsi="宋体" w:cs="宋体"/>
          <w:b/>
          <w:bCs/>
          <w:color w:val="auto"/>
          <w:sz w:val="24"/>
        </w:rPr>
      </w:pPr>
    </w:p>
    <w:p w14:paraId="3EF27FFB">
      <w:pPr>
        <w:pStyle w:val="43"/>
        <w:spacing w:line="360" w:lineRule="auto"/>
        <w:rPr>
          <w:rFonts w:ascii="宋体" w:hAnsi="宋体" w:cs="宋体"/>
          <w:b/>
          <w:bCs/>
          <w:color w:val="auto"/>
          <w:sz w:val="24"/>
        </w:rPr>
      </w:pPr>
    </w:p>
    <w:p w14:paraId="24903FF8">
      <w:pPr>
        <w:pStyle w:val="43"/>
        <w:spacing w:line="360" w:lineRule="auto"/>
        <w:rPr>
          <w:rFonts w:hint="eastAsia" w:ascii="宋体" w:hAnsi="宋体" w:cs="宋体"/>
          <w:b/>
          <w:bCs/>
          <w:color w:val="auto"/>
          <w:sz w:val="24"/>
        </w:rPr>
      </w:pPr>
    </w:p>
    <w:p w14:paraId="6E00C720">
      <w:pPr>
        <w:pStyle w:val="43"/>
        <w:spacing w:line="360" w:lineRule="auto"/>
        <w:rPr>
          <w:rFonts w:hint="eastAsia" w:ascii="宋体" w:hAnsi="宋体" w:cs="宋体"/>
          <w:b/>
          <w:bCs/>
          <w:color w:val="auto"/>
          <w:sz w:val="24"/>
        </w:rPr>
      </w:pPr>
    </w:p>
    <w:p w14:paraId="40C6B508">
      <w:pPr>
        <w:pStyle w:val="43"/>
        <w:spacing w:line="360" w:lineRule="auto"/>
        <w:rPr>
          <w:rFonts w:ascii="宋体" w:hAnsi="宋体"/>
          <w:b/>
          <w:color w:val="auto"/>
          <w:sz w:val="28"/>
          <w:szCs w:val="28"/>
        </w:rPr>
      </w:pPr>
      <w:r>
        <w:rPr>
          <w:rFonts w:hint="eastAsia" w:ascii="宋体" w:hAnsi="宋体" w:cs="宋体"/>
          <w:b/>
          <w:bCs/>
          <w:color w:val="auto"/>
          <w:sz w:val="24"/>
        </w:rPr>
        <w:t>附件</w:t>
      </w:r>
      <w:r>
        <w:rPr>
          <w:rFonts w:hint="eastAsia" w:hAnsi="宋体" w:cs="宋体"/>
          <w:b/>
          <w:bCs/>
          <w:color w:val="auto"/>
          <w:sz w:val="24"/>
          <w:lang w:eastAsia="zh-CN"/>
        </w:rPr>
        <w:t>五</w:t>
      </w:r>
      <w:r>
        <w:rPr>
          <w:rFonts w:hint="eastAsia" w:ascii="宋体" w:hAnsi="宋体" w:cs="宋体"/>
          <w:b/>
          <w:bCs/>
          <w:color w:val="auto"/>
          <w:sz w:val="24"/>
        </w:rPr>
        <w:t>：</w:t>
      </w:r>
    </w:p>
    <w:p w14:paraId="4BA38615">
      <w:pPr>
        <w:pStyle w:val="43"/>
        <w:spacing w:line="360" w:lineRule="auto"/>
        <w:jc w:val="center"/>
        <w:rPr>
          <w:rFonts w:ascii="仿宋_GB2312" w:eastAsia="仿宋_GB2312"/>
          <w:b/>
          <w:color w:val="auto"/>
          <w:sz w:val="28"/>
          <w:szCs w:val="28"/>
        </w:rPr>
      </w:pPr>
      <w:r>
        <w:rPr>
          <w:rFonts w:hint="eastAsia" w:ascii="宋体" w:hAnsi="宋体"/>
          <w:b/>
          <w:color w:val="auto"/>
          <w:sz w:val="28"/>
          <w:szCs w:val="28"/>
        </w:rPr>
        <w:t>类似项目业绩一览表</w:t>
      </w: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2FB43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1345B0F6">
            <w:pPr>
              <w:pStyle w:val="43"/>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7462CC0E">
            <w:pPr>
              <w:pStyle w:val="43"/>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65A2B4AC">
            <w:pPr>
              <w:pStyle w:val="43"/>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388ABC0A">
            <w:pPr>
              <w:pStyle w:val="43"/>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5532E57F">
            <w:pPr>
              <w:pStyle w:val="43"/>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7FD99BA1">
            <w:pPr>
              <w:pStyle w:val="43"/>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1FBBC25B">
            <w:pPr>
              <w:pStyle w:val="43"/>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406A3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3EB77DDF">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053DE79F">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683876F1">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7E492A6C">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56DFC679">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54503177">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601CE6AE">
            <w:pPr>
              <w:pStyle w:val="43"/>
              <w:spacing w:line="360" w:lineRule="auto"/>
              <w:rPr>
                <w:rFonts w:ascii="宋体" w:hAnsi="宋体" w:cs="Arial"/>
                <w:color w:val="auto"/>
                <w:sz w:val="24"/>
              </w:rPr>
            </w:pPr>
          </w:p>
        </w:tc>
      </w:tr>
      <w:tr w14:paraId="2E0D5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20982508">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1D4EF1CB">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0183CCB1">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65114747">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4BD24A96">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2A313240">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69416FBC">
            <w:pPr>
              <w:pStyle w:val="43"/>
              <w:spacing w:line="360" w:lineRule="auto"/>
              <w:rPr>
                <w:rFonts w:ascii="宋体" w:hAnsi="宋体" w:cs="Arial"/>
                <w:color w:val="auto"/>
                <w:sz w:val="24"/>
              </w:rPr>
            </w:pPr>
          </w:p>
        </w:tc>
      </w:tr>
      <w:tr w14:paraId="41F22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1EAEBE9D">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12A14117">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04A14A4E">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5213D265">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3FC4C287">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0C5B09F5">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317A4BB9">
            <w:pPr>
              <w:pStyle w:val="43"/>
              <w:spacing w:line="360" w:lineRule="auto"/>
              <w:rPr>
                <w:rFonts w:ascii="宋体" w:hAnsi="宋体" w:cs="Arial"/>
                <w:color w:val="auto"/>
                <w:sz w:val="24"/>
              </w:rPr>
            </w:pPr>
          </w:p>
        </w:tc>
      </w:tr>
      <w:tr w14:paraId="62555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4FBAEEF9">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76C34346">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72C34E4A">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0BE48C2F">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60F15D4A">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4F255B79">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7024CDFA">
            <w:pPr>
              <w:pStyle w:val="43"/>
              <w:spacing w:line="360" w:lineRule="auto"/>
              <w:rPr>
                <w:rFonts w:ascii="宋体" w:hAnsi="宋体" w:cs="Arial"/>
                <w:color w:val="auto"/>
                <w:sz w:val="24"/>
              </w:rPr>
            </w:pPr>
          </w:p>
        </w:tc>
      </w:tr>
      <w:tr w14:paraId="399AB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3D987395">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4FC10FD8">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1996335E">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596D2502">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3BB27F0C">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57EC9A2E">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59AE6E45">
            <w:pPr>
              <w:pStyle w:val="43"/>
              <w:spacing w:line="360" w:lineRule="auto"/>
              <w:rPr>
                <w:rFonts w:ascii="宋体" w:hAnsi="宋体" w:cs="Arial"/>
                <w:color w:val="auto"/>
                <w:sz w:val="24"/>
              </w:rPr>
            </w:pPr>
          </w:p>
        </w:tc>
      </w:tr>
      <w:tr w14:paraId="59009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57B7FC44">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766ACB4D">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4CDE7070">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63A9B2A1">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2738BC39">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35E854BD">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662800E9">
            <w:pPr>
              <w:pStyle w:val="43"/>
              <w:spacing w:line="360" w:lineRule="auto"/>
              <w:rPr>
                <w:rFonts w:ascii="宋体" w:hAnsi="宋体" w:cs="Arial"/>
                <w:color w:val="auto"/>
                <w:sz w:val="24"/>
              </w:rPr>
            </w:pPr>
          </w:p>
        </w:tc>
      </w:tr>
      <w:tr w14:paraId="7B74D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209CA68B">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3FF5BD47">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7131D39C">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4BA9B4BD">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5F080118">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1DEC1773">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3243BC75">
            <w:pPr>
              <w:pStyle w:val="43"/>
              <w:spacing w:line="360" w:lineRule="auto"/>
              <w:rPr>
                <w:rFonts w:ascii="宋体" w:hAnsi="宋体" w:cs="Arial"/>
                <w:color w:val="auto"/>
                <w:sz w:val="24"/>
              </w:rPr>
            </w:pPr>
          </w:p>
        </w:tc>
      </w:tr>
      <w:tr w14:paraId="7164B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008401C7">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7DAD4F8B">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22A1FBFA">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44AE229A">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0A280A3E">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4D98D7E0">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55C67A81">
            <w:pPr>
              <w:pStyle w:val="43"/>
              <w:spacing w:line="360" w:lineRule="auto"/>
              <w:rPr>
                <w:rFonts w:ascii="宋体" w:hAnsi="宋体" w:cs="Arial"/>
                <w:color w:val="auto"/>
                <w:sz w:val="24"/>
              </w:rPr>
            </w:pPr>
          </w:p>
        </w:tc>
      </w:tr>
      <w:tr w14:paraId="2CE00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37F0C2BE">
            <w:pPr>
              <w:pStyle w:val="43"/>
              <w:spacing w:line="360" w:lineRule="auto"/>
              <w:jc w:val="center"/>
              <w:rPr>
                <w:rFonts w:ascii="宋体" w:hAnsi="宋体" w:cs="Arial"/>
                <w:color w:val="auto"/>
                <w:sz w:val="24"/>
              </w:rPr>
            </w:pPr>
          </w:p>
        </w:tc>
        <w:tc>
          <w:tcPr>
            <w:tcW w:w="1200" w:type="dxa"/>
            <w:tcBorders>
              <w:top w:val="single" w:color="auto" w:sz="6" w:space="0"/>
              <w:left w:val="single" w:color="auto" w:sz="6" w:space="0"/>
              <w:bottom w:val="single" w:color="auto" w:sz="6" w:space="0"/>
              <w:right w:val="single" w:color="auto" w:sz="6" w:space="0"/>
            </w:tcBorders>
            <w:noWrap/>
          </w:tcPr>
          <w:p w14:paraId="1A6B4189">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03142A60">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7D810B3E">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41782DB6">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25A57821">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3D33AD7D">
            <w:pPr>
              <w:pStyle w:val="43"/>
              <w:spacing w:line="360" w:lineRule="auto"/>
              <w:rPr>
                <w:rFonts w:ascii="宋体" w:hAnsi="宋体" w:cs="Arial"/>
                <w:color w:val="auto"/>
                <w:sz w:val="24"/>
              </w:rPr>
            </w:pPr>
          </w:p>
        </w:tc>
      </w:tr>
      <w:tr w14:paraId="60E42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tcPr>
          <w:p w14:paraId="79E20562">
            <w:pPr>
              <w:pStyle w:val="43"/>
              <w:spacing w:line="360" w:lineRule="auto"/>
              <w:rPr>
                <w:rFonts w:ascii="宋体" w:hAnsi="宋体" w:cs="Arial"/>
                <w:color w:val="auto"/>
                <w:sz w:val="24"/>
              </w:rPr>
            </w:pPr>
            <w:r>
              <w:rPr>
                <w:rFonts w:hint="eastAsia" w:ascii="宋体" w:hAnsi="宋体" w:cs="Arial"/>
                <w:color w:val="auto"/>
                <w:sz w:val="24"/>
              </w:rPr>
              <w:t>…</w:t>
            </w:r>
          </w:p>
        </w:tc>
        <w:tc>
          <w:tcPr>
            <w:tcW w:w="1200" w:type="dxa"/>
            <w:tcBorders>
              <w:top w:val="single" w:color="auto" w:sz="6" w:space="0"/>
              <w:left w:val="single" w:color="auto" w:sz="6" w:space="0"/>
              <w:bottom w:val="single" w:color="auto" w:sz="6" w:space="0"/>
              <w:right w:val="single" w:color="auto" w:sz="6" w:space="0"/>
            </w:tcBorders>
            <w:noWrap/>
          </w:tcPr>
          <w:p w14:paraId="091E721F">
            <w:pPr>
              <w:pStyle w:val="43"/>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tcPr>
          <w:p w14:paraId="2B3F0A26">
            <w:pPr>
              <w:pStyle w:val="43"/>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tcPr>
          <w:p w14:paraId="2798E71C">
            <w:pPr>
              <w:pStyle w:val="43"/>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tcPr>
          <w:p w14:paraId="1BD38F74">
            <w:pPr>
              <w:pStyle w:val="43"/>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tcPr>
          <w:p w14:paraId="7A988C8F">
            <w:pPr>
              <w:pStyle w:val="43"/>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tcPr>
          <w:p w14:paraId="54770943">
            <w:pPr>
              <w:pStyle w:val="43"/>
              <w:spacing w:line="360" w:lineRule="auto"/>
              <w:rPr>
                <w:rFonts w:ascii="宋体" w:hAnsi="宋体" w:cs="Arial"/>
                <w:color w:val="auto"/>
                <w:sz w:val="24"/>
              </w:rPr>
            </w:pPr>
          </w:p>
        </w:tc>
      </w:tr>
    </w:tbl>
    <w:p w14:paraId="7EDE5136">
      <w:pPr>
        <w:spacing w:line="360" w:lineRule="auto"/>
        <w:rPr>
          <w:rFonts w:ascii="宋体" w:hAnsi="宋体" w:eastAsia="宋体" w:cs="宋体"/>
          <w:bCs/>
          <w:color w:val="auto"/>
          <w:kern w:val="0"/>
          <w:sz w:val="21"/>
          <w:szCs w:val="21"/>
        </w:rPr>
      </w:pPr>
      <w:r>
        <w:rPr>
          <w:rFonts w:hint="eastAsia" w:ascii="宋体" w:hAnsi="宋体" w:eastAsia="宋体" w:cs="宋体"/>
          <w:bCs/>
          <w:color w:val="auto"/>
          <w:kern w:val="0"/>
          <w:sz w:val="21"/>
          <w:szCs w:val="21"/>
        </w:rPr>
        <w:t>注：1、表中业绩参照“第四部分 评标办法及评分标准”中要求提供，并附上每个业绩相关材料；</w:t>
      </w:r>
    </w:p>
    <w:p w14:paraId="5055804B">
      <w:pPr>
        <w:numPr>
          <w:ilvl w:val="0"/>
          <w:numId w:val="8"/>
        </w:numPr>
        <w:spacing w:line="360" w:lineRule="auto"/>
        <w:ind w:firstLine="420" w:firstLineChars="200"/>
        <w:rPr>
          <w:rFonts w:ascii="宋体" w:hAnsi="宋体" w:eastAsia="宋体" w:cs="宋体"/>
          <w:bCs/>
          <w:color w:val="auto"/>
          <w:kern w:val="0"/>
          <w:sz w:val="21"/>
          <w:szCs w:val="21"/>
        </w:rPr>
      </w:pPr>
      <w:r>
        <w:rPr>
          <w:rFonts w:hint="eastAsia" w:ascii="宋体" w:hAnsi="宋体" w:eastAsia="宋体" w:cs="宋体"/>
          <w:bCs/>
          <w:color w:val="auto"/>
          <w:kern w:val="0"/>
          <w:sz w:val="21"/>
          <w:szCs w:val="21"/>
        </w:rPr>
        <w:t>供应商承诺提供的上述业绩相关材料真实不假，否则作为磋商响应文件提供虚假材料，按照采购文件相关条款处理，承担一切责任。</w:t>
      </w:r>
    </w:p>
    <w:p w14:paraId="223B74F7">
      <w:pPr>
        <w:pStyle w:val="3"/>
        <w:ind w:firstLine="4200" w:firstLineChars="2000"/>
        <w:rPr>
          <w:color w:val="auto"/>
        </w:rPr>
      </w:pPr>
      <w:r>
        <w:rPr>
          <w:rFonts w:hint="eastAsia"/>
          <w:color w:val="auto"/>
          <w:sz w:val="21"/>
          <w:szCs w:val="21"/>
        </w:rPr>
        <w:t>磋商供应商代表</w:t>
      </w:r>
      <w:r>
        <w:rPr>
          <w:rFonts w:hint="eastAsia" w:ascii="宋体" w:hAnsi="宋体" w:eastAsia="宋体" w:cs="宋体"/>
          <w:color w:val="auto"/>
          <w:sz w:val="21"/>
          <w:szCs w:val="21"/>
        </w:rPr>
        <w:t>（签字或盖章）</w:t>
      </w:r>
      <w:r>
        <w:rPr>
          <w:rFonts w:hint="eastAsia"/>
          <w:color w:val="auto"/>
          <w:sz w:val="21"/>
          <w:szCs w:val="21"/>
        </w:rPr>
        <w:t>：</w:t>
      </w:r>
    </w:p>
    <w:p w14:paraId="0EC3BB20">
      <w:pPr>
        <w:pStyle w:val="3"/>
        <w:ind w:firstLine="210"/>
        <w:rPr>
          <w:color w:val="auto"/>
        </w:rPr>
      </w:pPr>
    </w:p>
    <w:p w14:paraId="5B4E404F">
      <w:pPr>
        <w:spacing w:line="360" w:lineRule="auto"/>
        <w:ind w:firstLine="3780" w:firstLineChars="1800"/>
        <w:rPr>
          <w:rFonts w:ascii="宋体" w:hAnsi="宋体" w:eastAsia="宋体" w:cs="宋体"/>
          <w:color w:val="auto"/>
          <w:sz w:val="21"/>
          <w:szCs w:val="21"/>
          <w:lang w:val="zh-CN"/>
        </w:rPr>
      </w:pPr>
      <w:r>
        <w:rPr>
          <w:rFonts w:hint="eastAsia" w:ascii="宋体" w:hAnsi="宋体" w:eastAsia="宋体" w:cs="宋体"/>
          <w:color w:val="auto"/>
          <w:sz w:val="21"/>
          <w:szCs w:val="21"/>
        </w:rPr>
        <w:t xml:space="preserve">    磋商供应商名称（盖章）</w:t>
      </w:r>
      <w:r>
        <w:rPr>
          <w:rFonts w:hint="eastAsia" w:ascii="宋体" w:hAnsi="宋体" w:eastAsia="宋体" w:cs="宋体"/>
          <w:color w:val="auto"/>
          <w:sz w:val="21"/>
          <w:szCs w:val="21"/>
          <w:lang w:val="zh-CN"/>
        </w:rPr>
        <w:t>：</w:t>
      </w:r>
    </w:p>
    <w:p w14:paraId="1D2A5A54">
      <w:pPr>
        <w:spacing w:line="450" w:lineRule="atLeast"/>
        <w:rPr>
          <w:rFonts w:ascii="宋体" w:hAnsi="宋体" w:eastAsia="宋体" w:cs="宋体"/>
          <w:b/>
          <w:color w:val="auto"/>
          <w:sz w:val="21"/>
          <w:szCs w:val="21"/>
        </w:rPr>
      </w:pPr>
      <w:r>
        <w:rPr>
          <w:rFonts w:hint="eastAsia" w:ascii="宋体" w:hAnsi="宋体" w:eastAsia="宋体" w:cs="宋体"/>
          <w:color w:val="auto"/>
          <w:sz w:val="21"/>
          <w:szCs w:val="21"/>
          <w:lang w:val="zh-CN"/>
        </w:rPr>
        <w:t xml:space="preserve">                                          日 期：</w:t>
      </w:r>
    </w:p>
    <w:p w14:paraId="6225E2A5">
      <w:pPr>
        <w:rPr>
          <w:rFonts w:ascii="宋体" w:hAnsi="宋体" w:eastAsia="宋体" w:cs="宋体"/>
          <w:b/>
          <w:color w:val="auto"/>
          <w:sz w:val="24"/>
        </w:rPr>
      </w:pPr>
    </w:p>
    <w:p w14:paraId="4892D35A">
      <w:pPr>
        <w:pStyle w:val="3"/>
        <w:ind w:firstLine="241"/>
        <w:rPr>
          <w:rFonts w:ascii="宋体" w:hAnsi="宋体" w:eastAsia="宋体" w:cs="宋体"/>
          <w:b/>
          <w:color w:val="auto"/>
          <w:sz w:val="24"/>
          <w:szCs w:val="24"/>
        </w:rPr>
      </w:pPr>
    </w:p>
    <w:p w14:paraId="795549DA">
      <w:pPr>
        <w:pStyle w:val="3"/>
        <w:ind w:firstLine="241"/>
        <w:rPr>
          <w:rFonts w:ascii="宋体" w:hAnsi="宋体" w:eastAsia="宋体" w:cs="宋体"/>
          <w:b/>
          <w:color w:val="auto"/>
          <w:sz w:val="24"/>
          <w:szCs w:val="24"/>
        </w:rPr>
      </w:pPr>
    </w:p>
    <w:p w14:paraId="19AC9478">
      <w:pPr>
        <w:pStyle w:val="3"/>
        <w:ind w:firstLine="241"/>
        <w:rPr>
          <w:rFonts w:ascii="宋体" w:hAnsi="宋体" w:eastAsia="宋体" w:cs="宋体"/>
          <w:b/>
          <w:color w:val="auto"/>
          <w:sz w:val="24"/>
          <w:szCs w:val="24"/>
        </w:rPr>
      </w:pPr>
    </w:p>
    <w:p w14:paraId="7A22A650">
      <w:pPr>
        <w:pStyle w:val="21"/>
        <w:rPr>
          <w:color w:val="auto"/>
        </w:rPr>
      </w:pPr>
    </w:p>
    <w:p w14:paraId="3D562310">
      <w:pPr>
        <w:pStyle w:val="3"/>
        <w:ind w:firstLine="241"/>
        <w:rPr>
          <w:rFonts w:ascii="宋体" w:hAnsi="宋体" w:eastAsia="宋体" w:cs="宋体"/>
          <w:b/>
          <w:color w:val="auto"/>
          <w:sz w:val="24"/>
          <w:szCs w:val="24"/>
        </w:rPr>
      </w:pPr>
    </w:p>
    <w:p w14:paraId="033C7CB7">
      <w:pPr>
        <w:pStyle w:val="21"/>
        <w:rPr>
          <w:rFonts w:ascii="宋体" w:hAnsi="宋体" w:eastAsia="宋体" w:cs="宋体"/>
          <w:b/>
          <w:color w:val="auto"/>
          <w:sz w:val="24"/>
          <w:szCs w:val="24"/>
        </w:rPr>
      </w:pPr>
    </w:p>
    <w:p w14:paraId="28B1A7AF">
      <w:pPr>
        <w:rPr>
          <w:color w:val="auto"/>
        </w:rPr>
      </w:pPr>
    </w:p>
    <w:p w14:paraId="259F37DC">
      <w:pPr>
        <w:pStyle w:val="3"/>
        <w:ind w:firstLine="241"/>
        <w:rPr>
          <w:rFonts w:ascii="宋体" w:hAnsi="宋体" w:eastAsia="宋体" w:cs="宋体"/>
          <w:b/>
          <w:color w:val="auto"/>
          <w:sz w:val="24"/>
          <w:szCs w:val="24"/>
        </w:rPr>
      </w:pPr>
    </w:p>
    <w:p w14:paraId="390ABC63">
      <w:pPr>
        <w:pStyle w:val="13"/>
        <w:adjustRightInd w:val="0"/>
        <w:snapToGrid w:val="0"/>
        <w:spacing w:before="156" w:after="156"/>
        <w:rPr>
          <w:rFonts w:hAnsi="宋体" w:eastAsia="宋体" w:cs="宋体"/>
          <w:b/>
          <w:bCs/>
          <w:color w:val="auto"/>
          <w:sz w:val="24"/>
          <w:szCs w:val="24"/>
        </w:rPr>
      </w:pPr>
      <w:bookmarkStart w:id="541" w:name="_Toc528578415"/>
      <w:bookmarkStart w:id="542" w:name="_Toc528927457"/>
      <w:r>
        <w:rPr>
          <w:rFonts w:hint="eastAsia" w:hAnsi="宋体" w:eastAsia="宋体" w:cs="宋体"/>
          <w:b/>
          <w:bCs/>
          <w:color w:val="auto"/>
          <w:sz w:val="24"/>
          <w:szCs w:val="24"/>
        </w:rPr>
        <w:t>附件</w:t>
      </w:r>
      <w:r>
        <w:rPr>
          <w:rFonts w:hint="eastAsia" w:hAnsi="宋体" w:eastAsia="宋体" w:cs="宋体"/>
          <w:b/>
          <w:bCs/>
          <w:color w:val="auto"/>
          <w:sz w:val="24"/>
          <w:szCs w:val="24"/>
          <w:lang w:eastAsia="zh-CN"/>
        </w:rPr>
        <w:t>六</w:t>
      </w:r>
      <w:r>
        <w:rPr>
          <w:rFonts w:hint="eastAsia" w:hAnsi="宋体" w:eastAsia="宋体" w:cs="宋体"/>
          <w:b/>
          <w:bCs/>
          <w:color w:val="auto"/>
          <w:sz w:val="24"/>
          <w:szCs w:val="24"/>
        </w:rPr>
        <w:t>：</w:t>
      </w:r>
    </w:p>
    <w:p w14:paraId="15154620">
      <w:pPr>
        <w:pStyle w:val="13"/>
        <w:adjustRightInd w:val="0"/>
        <w:snapToGrid w:val="0"/>
        <w:spacing w:before="156" w:after="156"/>
        <w:jc w:val="center"/>
        <w:rPr>
          <w:rFonts w:hAnsi="宋体" w:eastAsia="宋体" w:cs="宋体"/>
          <w:b/>
          <w:bCs/>
          <w:color w:val="auto"/>
          <w:sz w:val="28"/>
          <w:szCs w:val="28"/>
        </w:rPr>
      </w:pPr>
      <w:r>
        <w:rPr>
          <w:rFonts w:hint="eastAsia" w:hAnsi="宋体" w:eastAsia="宋体" w:cs="宋体"/>
          <w:b/>
          <w:bCs/>
          <w:color w:val="auto"/>
          <w:sz w:val="28"/>
          <w:szCs w:val="28"/>
        </w:rPr>
        <w:t>项目</w:t>
      </w:r>
      <w:r>
        <w:rPr>
          <w:rFonts w:hint="eastAsia" w:hAnsi="宋体" w:eastAsia="宋体" w:cs="宋体"/>
          <w:b/>
          <w:bCs/>
          <w:color w:val="auto"/>
          <w:sz w:val="28"/>
          <w:szCs w:val="28"/>
          <w:lang w:eastAsia="zh-CN"/>
        </w:rPr>
        <w:t>负责人</w:t>
      </w:r>
      <w:r>
        <w:rPr>
          <w:rFonts w:hint="eastAsia" w:hAnsi="宋体" w:eastAsia="宋体" w:cs="宋体"/>
          <w:b/>
          <w:bCs/>
          <w:color w:val="auto"/>
          <w:sz w:val="28"/>
          <w:szCs w:val="28"/>
        </w:rPr>
        <w:t>简历表</w:t>
      </w:r>
    </w:p>
    <w:tbl>
      <w:tblPr>
        <w:tblStyle w:val="26"/>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3917C91C">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8901D">
            <w:pPr>
              <w:widowControl/>
              <w:jc w:val="center"/>
              <w:rPr>
                <w:rFonts w:cs="宋体"/>
                <w:color w:val="auto"/>
                <w:kern w:val="0"/>
                <w:sz w:val="24"/>
              </w:rPr>
            </w:pPr>
            <w:r>
              <w:rPr>
                <w:rFonts w:hint="eastAsia" w:cs="宋体"/>
                <w:color w:val="auto"/>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48135A9D">
            <w:pPr>
              <w:widowControl/>
              <w:jc w:val="center"/>
              <w:rPr>
                <w:rFonts w:cs="宋体"/>
                <w:color w:val="auto"/>
                <w:kern w:val="0"/>
                <w:sz w:val="24"/>
              </w:rPr>
            </w:pPr>
            <w:r>
              <w:rPr>
                <w:rFonts w:hint="eastAsia" w:cs="宋体"/>
                <w:color w:val="auto"/>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7BBF933B">
            <w:pPr>
              <w:widowControl/>
              <w:jc w:val="center"/>
              <w:rPr>
                <w:rFonts w:cs="宋体"/>
                <w:color w:val="auto"/>
                <w:kern w:val="0"/>
                <w:sz w:val="24"/>
              </w:rPr>
            </w:pPr>
            <w:r>
              <w:rPr>
                <w:rFonts w:hint="eastAsia" w:cs="宋体"/>
                <w:color w:val="auto"/>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5C9732F7">
            <w:pPr>
              <w:widowControl/>
              <w:jc w:val="center"/>
              <w:rPr>
                <w:rFonts w:cs="宋体"/>
                <w:color w:val="auto"/>
                <w:kern w:val="0"/>
                <w:sz w:val="24"/>
              </w:rPr>
            </w:pPr>
            <w:r>
              <w:rPr>
                <w:rFonts w:hint="eastAsia" w:cs="宋体"/>
                <w:color w:val="auto"/>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3809ED5C">
            <w:pPr>
              <w:widowControl/>
              <w:jc w:val="center"/>
              <w:rPr>
                <w:rFonts w:cs="宋体"/>
                <w:color w:val="auto"/>
                <w:kern w:val="0"/>
                <w:sz w:val="24"/>
              </w:rPr>
            </w:pPr>
            <w:r>
              <w:rPr>
                <w:rFonts w:hint="eastAsia" w:cs="宋体"/>
                <w:color w:val="auto"/>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64731625">
            <w:pPr>
              <w:widowControl/>
              <w:jc w:val="center"/>
              <w:rPr>
                <w:rFonts w:cs="宋体"/>
                <w:color w:val="auto"/>
                <w:kern w:val="0"/>
                <w:sz w:val="24"/>
              </w:rPr>
            </w:pPr>
            <w:r>
              <w:rPr>
                <w:rFonts w:hint="eastAsia" w:cs="宋体"/>
                <w:color w:val="auto"/>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721C3CA4">
            <w:pPr>
              <w:widowControl/>
              <w:jc w:val="center"/>
              <w:rPr>
                <w:rFonts w:cs="宋体"/>
                <w:color w:val="auto"/>
                <w:kern w:val="0"/>
                <w:sz w:val="24"/>
              </w:rPr>
            </w:pPr>
            <w:r>
              <w:rPr>
                <w:rFonts w:hint="eastAsia" w:cs="宋体"/>
                <w:color w:val="auto"/>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vAlign w:val="center"/>
          </w:tcPr>
          <w:p w14:paraId="170093F7">
            <w:pPr>
              <w:widowControl/>
              <w:jc w:val="center"/>
              <w:rPr>
                <w:rFonts w:cs="宋体"/>
                <w:color w:val="auto"/>
                <w:kern w:val="0"/>
                <w:sz w:val="24"/>
              </w:rPr>
            </w:pPr>
            <w:r>
              <w:rPr>
                <w:rFonts w:hint="eastAsia" w:cs="宋体"/>
                <w:color w:val="auto"/>
                <w:kern w:val="0"/>
                <w:sz w:val="24"/>
              </w:rPr>
              <w:t>　</w:t>
            </w:r>
          </w:p>
        </w:tc>
      </w:tr>
      <w:tr w14:paraId="5239463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B90641">
            <w:pPr>
              <w:widowControl/>
              <w:jc w:val="center"/>
              <w:rPr>
                <w:rFonts w:cs="宋体"/>
                <w:color w:val="auto"/>
                <w:kern w:val="0"/>
                <w:sz w:val="24"/>
              </w:rPr>
            </w:pPr>
            <w:r>
              <w:rPr>
                <w:rFonts w:hint="eastAsia" w:cs="宋体"/>
                <w:color w:val="auto"/>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498E87C">
            <w:pPr>
              <w:widowControl/>
              <w:jc w:val="center"/>
              <w:rPr>
                <w:rFonts w:cs="宋体"/>
                <w:color w:val="auto"/>
                <w:kern w:val="0"/>
                <w:sz w:val="24"/>
              </w:rPr>
            </w:pPr>
            <w:r>
              <w:rPr>
                <w:rFonts w:hint="eastAsia" w:cs="宋体"/>
                <w:color w:val="auto"/>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14:paraId="4370844D">
            <w:pPr>
              <w:widowControl/>
              <w:jc w:val="center"/>
              <w:rPr>
                <w:rFonts w:cs="宋体"/>
                <w:color w:val="auto"/>
                <w:kern w:val="0"/>
                <w:sz w:val="24"/>
              </w:rPr>
            </w:pPr>
            <w:r>
              <w:rPr>
                <w:rFonts w:hint="eastAsia" w:cs="宋体"/>
                <w:color w:val="auto"/>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1C6678AA">
            <w:pPr>
              <w:widowControl/>
              <w:jc w:val="center"/>
              <w:rPr>
                <w:rFonts w:cs="宋体"/>
                <w:color w:val="auto"/>
                <w:kern w:val="0"/>
                <w:sz w:val="24"/>
              </w:rPr>
            </w:pPr>
            <w:r>
              <w:rPr>
                <w:rFonts w:hint="eastAsia" w:cs="宋体"/>
                <w:color w:val="auto"/>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14:paraId="6CC9242D">
            <w:pPr>
              <w:widowControl/>
              <w:jc w:val="center"/>
              <w:rPr>
                <w:rFonts w:cs="宋体"/>
                <w:color w:val="auto"/>
                <w:kern w:val="0"/>
                <w:sz w:val="24"/>
              </w:rPr>
            </w:pPr>
            <w:r>
              <w:rPr>
                <w:rFonts w:hint="eastAsia" w:cs="宋体"/>
                <w:color w:val="auto"/>
                <w:kern w:val="0"/>
                <w:sz w:val="24"/>
              </w:rPr>
              <w:t>学历</w:t>
            </w:r>
          </w:p>
        </w:tc>
        <w:tc>
          <w:tcPr>
            <w:tcW w:w="1867" w:type="dxa"/>
            <w:tcBorders>
              <w:top w:val="nil"/>
              <w:left w:val="nil"/>
              <w:bottom w:val="single" w:color="000000" w:sz="4" w:space="0"/>
              <w:right w:val="single" w:color="000000" w:sz="4" w:space="0"/>
            </w:tcBorders>
            <w:shd w:val="clear" w:color="auto" w:fill="FFFFFF"/>
            <w:vAlign w:val="center"/>
          </w:tcPr>
          <w:p w14:paraId="2334AF32">
            <w:pPr>
              <w:widowControl/>
              <w:jc w:val="center"/>
              <w:rPr>
                <w:rFonts w:cs="宋体"/>
                <w:color w:val="auto"/>
                <w:kern w:val="0"/>
                <w:sz w:val="24"/>
              </w:rPr>
            </w:pPr>
            <w:r>
              <w:rPr>
                <w:rFonts w:hint="eastAsia" w:cs="宋体"/>
                <w:color w:val="auto"/>
                <w:kern w:val="0"/>
                <w:sz w:val="24"/>
              </w:rPr>
              <w:t>　</w:t>
            </w:r>
          </w:p>
        </w:tc>
      </w:tr>
      <w:tr w14:paraId="49C76F21">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D57D6">
            <w:pPr>
              <w:widowControl/>
              <w:jc w:val="center"/>
              <w:rPr>
                <w:rFonts w:cs="宋体"/>
                <w:color w:val="auto"/>
                <w:kern w:val="0"/>
                <w:sz w:val="24"/>
              </w:rPr>
            </w:pPr>
            <w:r>
              <w:rPr>
                <w:rFonts w:hint="eastAsia" w:cs="宋体"/>
                <w:color w:val="auto"/>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1BDC66F9">
            <w:pPr>
              <w:widowControl/>
              <w:ind w:left="-205" w:leftChars="-137" w:hanging="288" w:hangingChars="120"/>
              <w:jc w:val="left"/>
              <w:rPr>
                <w:rFonts w:cs="宋体"/>
                <w:color w:val="auto"/>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502E961F">
            <w:pPr>
              <w:widowControl/>
              <w:jc w:val="center"/>
              <w:rPr>
                <w:rFonts w:cs="宋体"/>
                <w:color w:val="auto"/>
                <w:kern w:val="0"/>
                <w:sz w:val="24"/>
              </w:rPr>
            </w:pPr>
            <w:r>
              <w:rPr>
                <w:rFonts w:hint="eastAsia" w:cs="宋体"/>
                <w:color w:val="auto"/>
                <w:kern w:val="0"/>
                <w:sz w:val="24"/>
              </w:rPr>
              <w:t>从事项目负责人年限</w:t>
            </w:r>
          </w:p>
        </w:tc>
        <w:tc>
          <w:tcPr>
            <w:tcW w:w="1867" w:type="dxa"/>
            <w:tcBorders>
              <w:top w:val="nil"/>
              <w:left w:val="nil"/>
              <w:bottom w:val="single" w:color="000000" w:sz="4" w:space="0"/>
              <w:right w:val="single" w:color="000000" w:sz="4" w:space="0"/>
            </w:tcBorders>
            <w:shd w:val="clear" w:color="auto" w:fill="FFFFFF"/>
            <w:vAlign w:val="center"/>
          </w:tcPr>
          <w:p w14:paraId="3656F56A">
            <w:pPr>
              <w:widowControl/>
              <w:jc w:val="left"/>
              <w:rPr>
                <w:rFonts w:cs="宋体"/>
                <w:color w:val="auto"/>
                <w:kern w:val="0"/>
                <w:sz w:val="24"/>
              </w:rPr>
            </w:pPr>
            <w:r>
              <w:rPr>
                <w:rFonts w:hint="eastAsia" w:cs="宋体"/>
                <w:color w:val="auto"/>
                <w:kern w:val="0"/>
                <w:sz w:val="24"/>
              </w:rPr>
              <w:t>　</w:t>
            </w:r>
          </w:p>
        </w:tc>
      </w:tr>
      <w:tr w14:paraId="1DF0DDDB">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7B936">
            <w:pPr>
              <w:widowControl/>
              <w:jc w:val="center"/>
              <w:rPr>
                <w:rFonts w:cs="宋体"/>
                <w:color w:val="auto"/>
                <w:kern w:val="0"/>
                <w:sz w:val="24"/>
              </w:rPr>
            </w:pPr>
            <w:r>
              <w:rPr>
                <w:rFonts w:hint="eastAsia" w:cs="宋体"/>
                <w:color w:val="auto"/>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4D402EA9">
            <w:pPr>
              <w:widowControl/>
              <w:jc w:val="center"/>
              <w:rPr>
                <w:rFonts w:cs="宋体"/>
                <w:color w:val="auto"/>
                <w:kern w:val="0"/>
                <w:sz w:val="24"/>
              </w:rPr>
            </w:pPr>
            <w:r>
              <w:rPr>
                <w:rFonts w:hint="eastAsia" w:cs="宋体"/>
                <w:color w:val="auto"/>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14:paraId="6797B778">
            <w:pPr>
              <w:widowControl/>
              <w:jc w:val="center"/>
              <w:rPr>
                <w:rFonts w:cs="宋体"/>
                <w:color w:val="auto"/>
                <w:kern w:val="0"/>
                <w:sz w:val="24"/>
              </w:rPr>
            </w:pPr>
            <w:r>
              <w:rPr>
                <w:rFonts w:hint="eastAsia" w:cs="宋体"/>
                <w:color w:val="auto"/>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vAlign w:val="center"/>
          </w:tcPr>
          <w:p w14:paraId="4261E321">
            <w:pPr>
              <w:widowControl/>
              <w:jc w:val="center"/>
              <w:rPr>
                <w:rFonts w:cs="宋体"/>
                <w:color w:val="auto"/>
                <w:kern w:val="0"/>
                <w:sz w:val="24"/>
              </w:rPr>
            </w:pPr>
            <w:r>
              <w:rPr>
                <w:rFonts w:hint="eastAsia" w:cs="宋体"/>
                <w:color w:val="auto"/>
                <w:kern w:val="0"/>
                <w:sz w:val="24"/>
              </w:rPr>
              <w:t>　</w:t>
            </w:r>
          </w:p>
        </w:tc>
      </w:tr>
      <w:tr w14:paraId="6A1DE82E">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2C53A130">
            <w:pPr>
              <w:widowControl/>
              <w:jc w:val="center"/>
              <w:rPr>
                <w:rFonts w:cs="宋体"/>
                <w:color w:val="auto"/>
                <w:kern w:val="0"/>
                <w:sz w:val="24"/>
              </w:rPr>
            </w:pPr>
            <w:r>
              <w:rPr>
                <w:rFonts w:hint="eastAsia" w:cs="宋体"/>
                <w:color w:val="auto"/>
                <w:kern w:val="0"/>
                <w:sz w:val="24"/>
              </w:rPr>
              <w:t>简</w:t>
            </w:r>
          </w:p>
          <w:p w14:paraId="6DD345F6">
            <w:pPr>
              <w:widowControl/>
              <w:jc w:val="center"/>
              <w:rPr>
                <w:rFonts w:cs="宋体"/>
                <w:color w:val="auto"/>
                <w:kern w:val="0"/>
                <w:sz w:val="24"/>
              </w:rPr>
            </w:pPr>
          </w:p>
          <w:p w14:paraId="4123314D">
            <w:pPr>
              <w:widowControl/>
              <w:jc w:val="center"/>
              <w:rPr>
                <w:rFonts w:cs="宋体"/>
                <w:color w:val="auto"/>
                <w:kern w:val="0"/>
                <w:sz w:val="24"/>
              </w:rPr>
            </w:pPr>
          </w:p>
          <w:p w14:paraId="67B6E413">
            <w:pPr>
              <w:widowControl/>
              <w:jc w:val="center"/>
              <w:rPr>
                <w:rFonts w:cs="宋体"/>
                <w:color w:val="auto"/>
                <w:kern w:val="0"/>
                <w:sz w:val="24"/>
              </w:rPr>
            </w:pPr>
          </w:p>
          <w:p w14:paraId="48B7CEAF">
            <w:pPr>
              <w:widowControl/>
              <w:jc w:val="center"/>
              <w:rPr>
                <w:rFonts w:cs="宋体"/>
                <w:color w:val="auto"/>
                <w:kern w:val="0"/>
                <w:sz w:val="24"/>
              </w:rPr>
            </w:pPr>
          </w:p>
          <w:p w14:paraId="6DC6DF0A">
            <w:pPr>
              <w:widowControl/>
              <w:jc w:val="center"/>
              <w:rPr>
                <w:rFonts w:cs="宋体"/>
                <w:color w:val="auto"/>
                <w:kern w:val="0"/>
                <w:sz w:val="24"/>
              </w:rPr>
            </w:pPr>
          </w:p>
          <w:p w14:paraId="44CBFB93">
            <w:pPr>
              <w:widowControl/>
              <w:jc w:val="center"/>
              <w:rPr>
                <w:rFonts w:cs="宋体"/>
                <w:color w:val="auto"/>
                <w:kern w:val="0"/>
                <w:sz w:val="24"/>
              </w:rPr>
            </w:pPr>
            <w:r>
              <w:rPr>
                <w:rFonts w:hint="eastAsia" w:cs="宋体"/>
                <w:color w:val="auto"/>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7B061F2E">
            <w:pPr>
              <w:widowControl/>
              <w:jc w:val="left"/>
              <w:rPr>
                <w:rFonts w:cs="宋体"/>
                <w:color w:val="auto"/>
                <w:kern w:val="0"/>
                <w:sz w:val="24"/>
              </w:rPr>
            </w:pPr>
          </w:p>
        </w:tc>
      </w:tr>
      <w:tr w14:paraId="2E2D50A8">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1B3031BC">
            <w:pPr>
              <w:widowControl/>
              <w:jc w:val="left"/>
              <w:rPr>
                <w:rFonts w:cs="宋体"/>
                <w:color w:val="auto"/>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5BE23CF5">
            <w:pPr>
              <w:widowControl/>
              <w:jc w:val="left"/>
              <w:rPr>
                <w:rFonts w:cs="宋体"/>
                <w:color w:val="auto"/>
                <w:kern w:val="0"/>
                <w:sz w:val="22"/>
                <w:szCs w:val="22"/>
              </w:rPr>
            </w:pPr>
          </w:p>
        </w:tc>
      </w:tr>
    </w:tbl>
    <w:p w14:paraId="66F59598">
      <w:pPr>
        <w:spacing w:line="360" w:lineRule="auto"/>
        <w:rPr>
          <w:rFonts w:ascii="宋体" w:hAnsi="宋体" w:eastAsia="宋体" w:cs="宋体"/>
          <w:b/>
          <w:bCs/>
          <w:color w:val="auto"/>
          <w:kern w:val="0"/>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kern w:val="0"/>
          <w:sz w:val="21"/>
          <w:szCs w:val="21"/>
        </w:rPr>
        <w:t>1、项目经理业绩参照“第四部分 评标办法及评分标准”中要求提供，并附上每个业绩相关材料；</w:t>
      </w:r>
    </w:p>
    <w:p w14:paraId="2847237A">
      <w:pPr>
        <w:pStyle w:val="39"/>
        <w:ind w:firstLine="422" w:firstLineChars="200"/>
        <w:rPr>
          <w:rFonts w:ascii="宋体" w:hAnsi="宋体" w:cs="宋体"/>
          <w:b/>
          <w:bCs/>
          <w:color w:val="auto"/>
          <w:kern w:val="0"/>
          <w:szCs w:val="21"/>
        </w:rPr>
      </w:pPr>
      <w:r>
        <w:rPr>
          <w:rFonts w:hint="eastAsia" w:ascii="宋体" w:hAnsi="宋体" w:cs="宋体"/>
          <w:b/>
          <w:bCs/>
          <w:color w:val="auto"/>
          <w:kern w:val="0"/>
          <w:szCs w:val="21"/>
        </w:rPr>
        <w:t>2、供应商承诺提供的上述业绩相关材料真实不假，否则作为磋商响应文件提供虚假材料，按照采购文件相关条款处理，承担一切责任。</w:t>
      </w:r>
    </w:p>
    <w:p w14:paraId="68A01FFA">
      <w:pPr>
        <w:pStyle w:val="13"/>
        <w:spacing w:before="60" w:after="60" w:line="500" w:lineRule="exact"/>
        <w:ind w:firstLine="3570" w:firstLineChars="1700"/>
        <w:rPr>
          <w:rFonts w:hAnsi="宋体" w:eastAsia="宋体" w:cs="宋体"/>
          <w:color w:val="auto"/>
          <w:sz w:val="21"/>
          <w:szCs w:val="21"/>
        </w:rPr>
      </w:pPr>
      <w:r>
        <w:rPr>
          <w:rFonts w:hint="eastAsia" w:hAnsi="宋体" w:eastAsia="宋体" w:cs="宋体"/>
          <w:color w:val="auto"/>
          <w:szCs w:val="21"/>
        </w:rPr>
        <w:t xml:space="preserve">    </w:t>
      </w:r>
      <w:r>
        <w:rPr>
          <w:rFonts w:hint="eastAsia" w:hAnsi="宋体" w:eastAsia="宋体" w:cs="宋体"/>
          <w:color w:val="auto"/>
          <w:sz w:val="21"/>
          <w:szCs w:val="21"/>
        </w:rPr>
        <w:t xml:space="preserve">      磋商供应商代表</w:t>
      </w:r>
      <w:r>
        <w:rPr>
          <w:rFonts w:hint="eastAsia" w:ascii="宋体" w:hAnsi="宋体" w:eastAsia="宋体" w:cs="宋体"/>
          <w:color w:val="auto"/>
          <w:sz w:val="21"/>
          <w:szCs w:val="21"/>
        </w:rPr>
        <w:t>（签字或盖章）</w:t>
      </w:r>
      <w:r>
        <w:rPr>
          <w:rFonts w:hint="eastAsia" w:hAnsi="宋体" w:eastAsia="宋体" w:cs="宋体"/>
          <w:color w:val="auto"/>
          <w:sz w:val="21"/>
          <w:szCs w:val="21"/>
        </w:rPr>
        <w:t>：</w:t>
      </w:r>
    </w:p>
    <w:p w14:paraId="4FBD2D37">
      <w:pPr>
        <w:pStyle w:val="39"/>
        <w:ind w:firstLine="420" w:firstLineChars="200"/>
        <w:rPr>
          <w:rFonts w:ascii="宋体" w:hAnsi="宋体" w:cs="宋体"/>
          <w:bCs/>
          <w:color w:val="auto"/>
          <w:kern w:val="0"/>
          <w:szCs w:val="21"/>
        </w:rPr>
      </w:pPr>
    </w:p>
    <w:p w14:paraId="3939ABC0">
      <w:pPr>
        <w:spacing w:line="360" w:lineRule="auto"/>
        <w:ind w:firstLine="4200" w:firstLineChars="2000"/>
        <w:rPr>
          <w:rFonts w:ascii="宋体" w:hAnsi="宋体" w:eastAsia="宋体" w:cs="宋体"/>
          <w:color w:val="auto"/>
          <w:sz w:val="21"/>
          <w:szCs w:val="21"/>
          <w:lang w:val="zh-CN"/>
        </w:rPr>
      </w:pPr>
      <w:r>
        <w:rPr>
          <w:rFonts w:hint="eastAsia" w:ascii="宋体" w:hAnsi="宋体" w:eastAsia="宋体" w:cs="宋体"/>
          <w:color w:val="auto"/>
          <w:sz w:val="21"/>
          <w:szCs w:val="21"/>
        </w:rPr>
        <w:t xml:space="preserve">   磋商供应商名称（盖章）</w:t>
      </w:r>
      <w:r>
        <w:rPr>
          <w:rFonts w:hint="eastAsia" w:ascii="宋体" w:hAnsi="宋体" w:eastAsia="宋体" w:cs="宋体"/>
          <w:color w:val="auto"/>
          <w:sz w:val="21"/>
          <w:szCs w:val="21"/>
          <w:lang w:val="zh-CN"/>
        </w:rPr>
        <w:t>：</w:t>
      </w:r>
    </w:p>
    <w:p w14:paraId="49A57688">
      <w:pPr>
        <w:spacing w:line="450" w:lineRule="atLeast"/>
        <w:rPr>
          <w:rFonts w:ascii="宋体" w:hAnsi="宋体" w:cs="宋体"/>
          <w:b/>
          <w:color w:val="auto"/>
          <w:sz w:val="24"/>
        </w:rPr>
      </w:pPr>
      <w:r>
        <w:rPr>
          <w:rFonts w:hint="eastAsia" w:ascii="宋体" w:hAnsi="宋体" w:eastAsia="宋体" w:cs="宋体"/>
          <w:color w:val="auto"/>
          <w:sz w:val="21"/>
          <w:szCs w:val="21"/>
          <w:lang w:val="zh-CN"/>
        </w:rPr>
        <w:t xml:space="preserve">                                                  日 期：</w:t>
      </w:r>
      <w:bookmarkStart w:id="543" w:name="_Toc28261_WPSOffice_Level2"/>
      <w:bookmarkStart w:id="544" w:name="_Toc8165"/>
      <w:bookmarkStart w:id="545" w:name="_Toc10163_WPSOffice_Level2"/>
      <w:bookmarkStart w:id="546" w:name="_Toc10701_WPSOffice_Level2"/>
    </w:p>
    <w:p w14:paraId="19406A04">
      <w:pPr>
        <w:tabs>
          <w:tab w:val="left" w:pos="720"/>
        </w:tabs>
        <w:spacing w:line="360" w:lineRule="auto"/>
        <w:outlineLvl w:val="0"/>
        <w:rPr>
          <w:rFonts w:ascii="宋体" w:hAnsi="宋体" w:cs="宋体" w:eastAsiaTheme="minorEastAsia"/>
          <w:b/>
          <w:color w:val="auto"/>
          <w:sz w:val="24"/>
        </w:rPr>
      </w:pPr>
    </w:p>
    <w:p w14:paraId="3EADFB6E">
      <w:pPr>
        <w:tabs>
          <w:tab w:val="left" w:pos="720"/>
        </w:tabs>
        <w:spacing w:line="360" w:lineRule="auto"/>
        <w:outlineLvl w:val="0"/>
        <w:rPr>
          <w:rFonts w:ascii="宋体" w:hAnsi="宋体" w:eastAsia="宋体" w:cs="宋体"/>
          <w:b/>
          <w:color w:val="auto"/>
          <w:sz w:val="24"/>
        </w:rPr>
      </w:pPr>
      <w:r>
        <w:rPr>
          <w:rFonts w:hint="eastAsia" w:ascii="宋体" w:hAnsi="宋体" w:cs="宋体"/>
          <w:b/>
          <w:color w:val="auto"/>
          <w:sz w:val="24"/>
        </w:rPr>
        <w:t>附表</w:t>
      </w:r>
      <w:r>
        <w:rPr>
          <w:rFonts w:hint="eastAsia" w:ascii="宋体" w:hAnsi="宋体" w:eastAsia="宋体" w:cs="宋体"/>
          <w:b/>
          <w:color w:val="auto"/>
          <w:sz w:val="24"/>
          <w:lang w:eastAsia="zh-CN"/>
        </w:rPr>
        <w:t>七</w:t>
      </w:r>
      <w:r>
        <w:rPr>
          <w:rFonts w:hint="eastAsia" w:ascii="宋体" w:hAnsi="宋体" w:eastAsia="宋体" w:cs="宋体"/>
          <w:b/>
          <w:color w:val="auto"/>
          <w:sz w:val="24"/>
        </w:rPr>
        <w:t>：</w:t>
      </w:r>
    </w:p>
    <w:p w14:paraId="1E8DC4C8">
      <w:pPr>
        <w:pStyle w:val="13"/>
        <w:adjustRightInd w:val="0"/>
        <w:snapToGrid w:val="0"/>
        <w:spacing w:line="360" w:lineRule="auto"/>
        <w:jc w:val="center"/>
        <w:rPr>
          <w:rFonts w:hint="eastAsia" w:hAnsi="宋体"/>
          <w:b/>
          <w:color w:val="auto"/>
          <w:sz w:val="32"/>
          <w:szCs w:val="32"/>
        </w:rPr>
      </w:pPr>
      <w:r>
        <w:rPr>
          <w:rFonts w:hint="eastAsia" w:hAnsi="宋体"/>
          <w:b/>
          <w:color w:val="auto"/>
          <w:sz w:val="32"/>
          <w:szCs w:val="32"/>
        </w:rPr>
        <w:t>项目管理班子配备情况表</w:t>
      </w:r>
    </w:p>
    <w:tbl>
      <w:tblPr>
        <w:tblStyle w:val="26"/>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F08F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14:paraId="2A0A887F">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6D90827C">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16CC8D2">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B486275">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B7D6D2">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CDC30B1">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EC9110C">
            <w:pPr>
              <w:snapToGrid w:val="0"/>
              <w:spacing w:before="156"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4D3ABD7">
            <w:pPr>
              <w:snapToGrid w:val="0"/>
              <w:spacing w:before="156" w:beforeLines="50" w:after="50" w:line="360" w:lineRule="auto"/>
              <w:jc w:val="center"/>
              <w:rPr>
                <w:rFonts w:ascii="宋体" w:hAnsi="宋体"/>
                <w:b/>
                <w:bCs/>
                <w:color w:val="auto"/>
                <w:sz w:val="24"/>
                <w:szCs w:val="20"/>
              </w:rPr>
            </w:pPr>
            <w:r>
              <w:rPr>
                <w:rFonts w:hint="eastAsia" w:ascii="宋体" w:hAnsi="宋体"/>
                <w:b/>
                <w:color w:val="auto"/>
                <w:sz w:val="24"/>
              </w:rPr>
              <w:t>劳动合同编号</w:t>
            </w:r>
          </w:p>
        </w:tc>
      </w:tr>
      <w:tr w14:paraId="66ADC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6AA8BA67">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4846A6A6">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87474E9">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754C954">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21CC9D">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F1099BA">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004FD6B">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2D0FEDF">
            <w:pPr>
              <w:snapToGrid w:val="0"/>
              <w:spacing w:before="156" w:beforeLines="50" w:after="50" w:line="360" w:lineRule="auto"/>
              <w:rPr>
                <w:rFonts w:ascii="宋体" w:hAnsi="宋体"/>
                <w:b/>
                <w:color w:val="auto"/>
                <w:kern w:val="44"/>
                <w:sz w:val="24"/>
                <w:szCs w:val="20"/>
              </w:rPr>
            </w:pPr>
          </w:p>
        </w:tc>
      </w:tr>
      <w:tr w14:paraId="5182F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00CF4D5">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0A83B717">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6223543">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E96F861">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D30C3F">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0F14521">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83947E0">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5A74609">
            <w:pPr>
              <w:snapToGrid w:val="0"/>
              <w:spacing w:before="156" w:beforeLines="50" w:after="50" w:line="360" w:lineRule="auto"/>
              <w:rPr>
                <w:rFonts w:ascii="宋体" w:hAnsi="宋体"/>
                <w:b/>
                <w:color w:val="auto"/>
                <w:kern w:val="44"/>
                <w:sz w:val="24"/>
                <w:szCs w:val="20"/>
              </w:rPr>
            </w:pPr>
          </w:p>
        </w:tc>
      </w:tr>
      <w:tr w14:paraId="03818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94AD60F">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7B866E6">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74CC358">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35CBDE0">
            <w:pPr>
              <w:pStyle w:val="14"/>
              <w:snapToGrid w:val="0"/>
              <w:spacing w:before="156" w:beforeLines="50" w:after="50" w:line="360" w:lineRule="auto"/>
              <w:ind w:left="5250"/>
              <w:rPr>
                <w:rFonts w:ascii="宋体" w:hAnsi="宋体"/>
                <w:b/>
                <w:color w:val="auto"/>
                <w:kern w:val="4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A65851">
            <w:pPr>
              <w:pStyle w:val="14"/>
              <w:snapToGrid w:val="0"/>
              <w:spacing w:before="156" w:beforeLines="50" w:after="50" w:line="360" w:lineRule="auto"/>
              <w:ind w:left="5250"/>
              <w:rPr>
                <w:rFonts w:ascii="宋体" w:hAnsi="宋体"/>
                <w:b/>
                <w:color w:val="auto"/>
                <w:kern w:val="4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40B94FD">
            <w:pPr>
              <w:pStyle w:val="14"/>
              <w:spacing w:line="360" w:lineRule="auto"/>
              <w:ind w:left="5250"/>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40E861C">
            <w:pPr>
              <w:snapToGrid w:val="0"/>
              <w:spacing w:before="156" w:beforeLines="50" w:after="50" w:line="360" w:lineRule="auto"/>
              <w:rPr>
                <w:rFonts w:ascii="宋体" w:hAnsi="宋体"/>
                <w:color w:val="auto"/>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548DD2E">
            <w:pPr>
              <w:snapToGrid w:val="0"/>
              <w:spacing w:before="156" w:beforeLines="50" w:after="50" w:line="360" w:lineRule="auto"/>
              <w:rPr>
                <w:rFonts w:ascii="宋体" w:hAnsi="宋体"/>
                <w:b/>
                <w:color w:val="auto"/>
                <w:kern w:val="44"/>
                <w:sz w:val="24"/>
                <w:szCs w:val="20"/>
              </w:rPr>
            </w:pPr>
          </w:p>
        </w:tc>
      </w:tr>
      <w:tr w14:paraId="5FA38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127BE00">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DC50143">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9A68942">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11A03FB">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BAABAA7">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5D7355">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F5AB27B">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61FDE86">
            <w:pPr>
              <w:snapToGrid w:val="0"/>
              <w:spacing w:before="156" w:beforeLines="50" w:after="50" w:line="360" w:lineRule="auto"/>
              <w:rPr>
                <w:rFonts w:ascii="宋体" w:hAnsi="宋体"/>
                <w:b/>
                <w:color w:val="auto"/>
                <w:kern w:val="44"/>
                <w:sz w:val="24"/>
                <w:szCs w:val="20"/>
              </w:rPr>
            </w:pPr>
          </w:p>
        </w:tc>
      </w:tr>
      <w:tr w14:paraId="71BB2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78521189">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6C6A1B67">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F33E505">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306555A">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DB7CEE">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41AE923">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2391E5">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CC13B98">
            <w:pPr>
              <w:snapToGrid w:val="0"/>
              <w:spacing w:before="156" w:beforeLines="50" w:after="50" w:line="360" w:lineRule="auto"/>
              <w:rPr>
                <w:rFonts w:ascii="宋体" w:hAnsi="宋体"/>
                <w:b/>
                <w:color w:val="auto"/>
                <w:kern w:val="44"/>
                <w:sz w:val="24"/>
                <w:szCs w:val="20"/>
              </w:rPr>
            </w:pPr>
          </w:p>
        </w:tc>
      </w:tr>
    </w:tbl>
    <w:p w14:paraId="5E6F8454">
      <w:pPr>
        <w:pStyle w:val="3"/>
        <w:ind w:firstLine="0" w:firstLineChars="0"/>
        <w:rPr>
          <w:b/>
          <w:bCs/>
          <w:color w:val="auto"/>
        </w:rPr>
      </w:pPr>
    </w:p>
    <w:p w14:paraId="7DF79DA1">
      <w:pPr>
        <w:pStyle w:val="3"/>
        <w:ind w:firstLine="0" w:firstLineChars="0"/>
        <w:rPr>
          <w:b/>
          <w:bCs/>
          <w:color w:val="auto"/>
        </w:rPr>
      </w:pPr>
      <w:r>
        <w:rPr>
          <w:rFonts w:hint="eastAsia"/>
          <w:b/>
          <w:bCs/>
          <w:color w:val="auto"/>
        </w:rPr>
        <w:t>要求：</w:t>
      </w:r>
    </w:p>
    <w:p w14:paraId="190A8E85">
      <w:pPr>
        <w:pStyle w:val="3"/>
        <w:ind w:firstLine="0" w:firstLineChars="0"/>
        <w:rPr>
          <w:b/>
          <w:bCs/>
          <w:color w:val="auto"/>
        </w:rPr>
      </w:pPr>
      <w:r>
        <w:rPr>
          <w:rFonts w:hint="eastAsia"/>
          <w:b/>
          <w:bCs/>
          <w:color w:val="auto"/>
        </w:rPr>
        <w:t>1. 表后须附相关人员证书、证件以及其他相关证明材料的</w:t>
      </w:r>
      <w:r>
        <w:rPr>
          <w:rFonts w:hint="eastAsia" w:eastAsia="宋体"/>
          <w:b/>
          <w:bCs/>
          <w:color w:val="auto"/>
          <w:lang w:eastAsia="zh-CN"/>
        </w:rPr>
        <w:t>扫描件</w:t>
      </w:r>
      <w:r>
        <w:rPr>
          <w:rFonts w:hint="eastAsia"/>
          <w:b/>
          <w:bCs/>
          <w:color w:val="auto"/>
        </w:rPr>
        <w:t>。</w:t>
      </w:r>
    </w:p>
    <w:p w14:paraId="185F8E84">
      <w:pPr>
        <w:pStyle w:val="3"/>
        <w:ind w:firstLine="0" w:firstLineChars="0"/>
        <w:rPr>
          <w:color w:val="auto"/>
        </w:rPr>
      </w:pPr>
      <w:r>
        <w:rPr>
          <w:rFonts w:hint="eastAsia"/>
          <w:color w:val="auto"/>
        </w:rPr>
        <w:t>2. 在填写时，如本表格不适合供应商的实际情况，可根据实际情况及本表格式自行划表填写。</w:t>
      </w:r>
    </w:p>
    <w:p w14:paraId="5DF19989">
      <w:pPr>
        <w:pStyle w:val="3"/>
        <w:ind w:firstLine="0" w:firstLineChars="0"/>
        <w:rPr>
          <w:color w:val="auto"/>
        </w:rPr>
      </w:pPr>
    </w:p>
    <w:p w14:paraId="6F755CB7">
      <w:pPr>
        <w:pStyle w:val="3"/>
        <w:ind w:firstLine="0" w:firstLineChars="0"/>
        <w:rPr>
          <w:color w:val="auto"/>
        </w:rPr>
      </w:pPr>
    </w:p>
    <w:p w14:paraId="62E8B30A">
      <w:pPr>
        <w:spacing w:line="360" w:lineRule="auto"/>
        <w:ind w:firstLine="3780" w:firstLineChars="1800"/>
        <w:rPr>
          <w:rFonts w:ascii="宋体" w:hAnsi="宋体" w:eastAsia="宋体" w:cs="宋体"/>
          <w:color w:val="auto"/>
          <w:sz w:val="21"/>
          <w:szCs w:val="21"/>
        </w:rPr>
      </w:pPr>
      <w:r>
        <w:rPr>
          <w:rFonts w:hint="eastAsia" w:ascii="宋体" w:hAnsi="宋体" w:eastAsia="宋体" w:cs="宋体"/>
          <w:color w:val="auto"/>
          <w:sz w:val="21"/>
          <w:szCs w:val="21"/>
        </w:rPr>
        <w:t xml:space="preserve">                磋商供应商代表（签字或盖章）：</w:t>
      </w:r>
    </w:p>
    <w:p w14:paraId="22E338A3">
      <w:pPr>
        <w:pStyle w:val="3"/>
        <w:ind w:firstLine="210"/>
        <w:rPr>
          <w:color w:val="auto"/>
        </w:rPr>
      </w:pPr>
    </w:p>
    <w:p w14:paraId="629F061F">
      <w:pPr>
        <w:spacing w:line="360" w:lineRule="auto"/>
        <w:ind w:firstLine="5460" w:firstLineChars="2600"/>
        <w:rPr>
          <w:rFonts w:ascii="宋体" w:hAnsi="宋体" w:eastAsia="宋体" w:cs="宋体"/>
          <w:color w:val="auto"/>
          <w:sz w:val="21"/>
          <w:szCs w:val="21"/>
          <w:lang w:val="zh-CN"/>
        </w:rPr>
      </w:pPr>
      <w:r>
        <w:rPr>
          <w:rFonts w:hint="eastAsia" w:ascii="宋体" w:hAnsi="宋体" w:eastAsia="宋体" w:cs="宋体"/>
          <w:color w:val="auto"/>
          <w:sz w:val="21"/>
          <w:szCs w:val="21"/>
        </w:rPr>
        <w:t>磋商供应商名称（盖章）</w:t>
      </w:r>
      <w:r>
        <w:rPr>
          <w:rFonts w:hint="eastAsia" w:ascii="宋体" w:hAnsi="宋体" w:eastAsia="宋体" w:cs="宋体"/>
          <w:color w:val="auto"/>
          <w:sz w:val="21"/>
          <w:szCs w:val="21"/>
          <w:lang w:val="zh-CN"/>
        </w:rPr>
        <w:t>：</w:t>
      </w:r>
    </w:p>
    <w:p w14:paraId="29FAD5F5">
      <w:pPr>
        <w:pStyle w:val="5"/>
        <w:spacing w:beforeLines="100" w:line="360" w:lineRule="auto"/>
        <w:rPr>
          <w:rFonts w:ascii="宋体" w:hAnsi="宋体" w:eastAsia="宋体"/>
          <w:bCs w:val="0"/>
          <w:color w:val="auto"/>
          <w:lang w:val="zh-CN"/>
        </w:rPr>
      </w:pPr>
      <w:r>
        <w:rPr>
          <w:rFonts w:hint="eastAsia" w:ascii="宋体" w:hAnsi="宋体" w:eastAsia="宋体" w:cs="宋体"/>
          <w:b w:val="0"/>
          <w:bCs w:val="0"/>
          <w:color w:val="auto"/>
          <w:sz w:val="21"/>
          <w:szCs w:val="21"/>
          <w:lang w:val="zh-CN"/>
        </w:rPr>
        <w:t xml:space="preserve">                                                     日 期：</w:t>
      </w:r>
    </w:p>
    <w:p w14:paraId="28DE6A6D">
      <w:pPr>
        <w:tabs>
          <w:tab w:val="left" w:pos="720"/>
        </w:tabs>
        <w:spacing w:line="360" w:lineRule="auto"/>
        <w:outlineLvl w:val="0"/>
        <w:rPr>
          <w:rFonts w:hint="eastAsia" w:ascii="宋体" w:hAnsi="宋体" w:cs="宋体"/>
          <w:b/>
          <w:color w:val="auto"/>
          <w:sz w:val="24"/>
        </w:rPr>
      </w:pPr>
    </w:p>
    <w:p w14:paraId="6AA39278">
      <w:pPr>
        <w:tabs>
          <w:tab w:val="left" w:pos="720"/>
        </w:tabs>
        <w:spacing w:line="360" w:lineRule="auto"/>
        <w:outlineLvl w:val="0"/>
        <w:rPr>
          <w:rFonts w:hint="eastAsia" w:ascii="宋体" w:hAnsi="宋体" w:cs="宋体"/>
          <w:b/>
          <w:color w:val="auto"/>
          <w:sz w:val="24"/>
        </w:rPr>
      </w:pPr>
    </w:p>
    <w:p w14:paraId="52B42E14">
      <w:pPr>
        <w:tabs>
          <w:tab w:val="left" w:pos="720"/>
        </w:tabs>
        <w:spacing w:line="360" w:lineRule="auto"/>
        <w:outlineLvl w:val="0"/>
        <w:rPr>
          <w:rFonts w:hint="eastAsia" w:ascii="宋体" w:hAnsi="宋体" w:cs="宋体"/>
          <w:b/>
          <w:color w:val="auto"/>
          <w:sz w:val="24"/>
        </w:rPr>
      </w:pPr>
    </w:p>
    <w:p w14:paraId="7A8FCBB7">
      <w:pPr>
        <w:pStyle w:val="33"/>
        <w:rPr>
          <w:rFonts w:hint="eastAsia" w:ascii="宋体" w:hAnsi="宋体" w:cs="宋体"/>
          <w:b/>
          <w:color w:val="auto"/>
          <w:sz w:val="24"/>
        </w:rPr>
      </w:pPr>
    </w:p>
    <w:p w14:paraId="4A061A28">
      <w:pPr>
        <w:pStyle w:val="33"/>
        <w:rPr>
          <w:rFonts w:hint="eastAsia" w:ascii="宋体" w:hAnsi="宋体" w:cs="宋体"/>
          <w:b/>
          <w:color w:val="auto"/>
          <w:sz w:val="24"/>
        </w:rPr>
      </w:pPr>
    </w:p>
    <w:p w14:paraId="04AB4643">
      <w:pPr>
        <w:pStyle w:val="33"/>
        <w:rPr>
          <w:rFonts w:hint="eastAsia" w:ascii="宋体" w:hAnsi="宋体" w:cs="宋体"/>
          <w:b/>
          <w:color w:val="auto"/>
          <w:sz w:val="24"/>
        </w:rPr>
      </w:pPr>
    </w:p>
    <w:p w14:paraId="1ECCDAB4">
      <w:pPr>
        <w:pStyle w:val="33"/>
        <w:rPr>
          <w:rFonts w:hint="eastAsia" w:ascii="宋体" w:hAnsi="宋体" w:cs="宋体"/>
          <w:b/>
          <w:color w:val="auto"/>
          <w:sz w:val="24"/>
        </w:rPr>
      </w:pPr>
    </w:p>
    <w:p w14:paraId="33A67B11">
      <w:pPr>
        <w:pStyle w:val="33"/>
        <w:rPr>
          <w:rFonts w:hint="eastAsia" w:ascii="宋体" w:hAnsi="宋体" w:cs="宋体"/>
          <w:b/>
          <w:color w:val="auto"/>
          <w:sz w:val="24"/>
        </w:rPr>
      </w:pPr>
    </w:p>
    <w:p w14:paraId="4767C869">
      <w:pPr>
        <w:pStyle w:val="33"/>
        <w:rPr>
          <w:rFonts w:hint="eastAsia" w:ascii="宋体" w:hAnsi="宋体" w:cs="宋体"/>
          <w:b/>
          <w:color w:val="auto"/>
          <w:sz w:val="24"/>
        </w:rPr>
      </w:pPr>
    </w:p>
    <w:p w14:paraId="4EC2A61A">
      <w:pPr>
        <w:pStyle w:val="33"/>
        <w:rPr>
          <w:rFonts w:hint="eastAsia" w:ascii="宋体" w:hAnsi="宋体" w:cs="宋体"/>
          <w:b/>
          <w:color w:val="auto"/>
          <w:sz w:val="24"/>
        </w:rPr>
      </w:pPr>
    </w:p>
    <w:p w14:paraId="5BCD2617">
      <w:pPr>
        <w:pStyle w:val="33"/>
        <w:rPr>
          <w:rFonts w:hint="eastAsia" w:ascii="宋体" w:hAnsi="宋体" w:cs="宋体"/>
          <w:b/>
          <w:color w:val="auto"/>
          <w:sz w:val="24"/>
        </w:rPr>
      </w:pPr>
    </w:p>
    <w:p w14:paraId="346A9907">
      <w:pPr>
        <w:tabs>
          <w:tab w:val="left" w:pos="720"/>
        </w:tabs>
        <w:spacing w:line="360" w:lineRule="auto"/>
        <w:outlineLvl w:val="0"/>
        <w:rPr>
          <w:rFonts w:hint="eastAsia" w:ascii="宋体" w:hAnsi="宋体" w:cs="宋体"/>
          <w:b/>
          <w:color w:val="auto"/>
          <w:sz w:val="24"/>
        </w:rPr>
      </w:pPr>
    </w:p>
    <w:p w14:paraId="6AF97A56">
      <w:pPr>
        <w:tabs>
          <w:tab w:val="left" w:pos="720"/>
        </w:tabs>
        <w:spacing w:line="360" w:lineRule="auto"/>
        <w:outlineLvl w:val="0"/>
        <w:rPr>
          <w:rFonts w:ascii="宋体" w:hAnsi="宋体" w:cs="宋体"/>
          <w:b/>
          <w:color w:val="auto"/>
          <w:sz w:val="24"/>
        </w:rPr>
      </w:pPr>
      <w:r>
        <w:rPr>
          <w:rFonts w:hint="eastAsia" w:ascii="宋体" w:hAnsi="宋体" w:cs="宋体"/>
          <w:b/>
          <w:color w:val="auto"/>
          <w:sz w:val="24"/>
        </w:rPr>
        <w:t>附表</w:t>
      </w:r>
      <w:r>
        <w:rPr>
          <w:rFonts w:hint="eastAsia" w:ascii="宋体" w:hAnsi="宋体" w:eastAsia="宋体" w:cs="宋体"/>
          <w:b/>
          <w:color w:val="auto"/>
          <w:sz w:val="24"/>
          <w:lang w:eastAsia="zh-CN"/>
        </w:rPr>
        <w:t>八</w:t>
      </w:r>
      <w:r>
        <w:rPr>
          <w:rFonts w:hint="eastAsia" w:ascii="宋体" w:hAnsi="宋体" w:cs="宋体"/>
          <w:b/>
          <w:color w:val="auto"/>
          <w:sz w:val="24"/>
        </w:rPr>
        <w:t>：拟投入的主要施工设备表</w:t>
      </w:r>
      <w:bookmarkEnd w:id="543"/>
      <w:bookmarkEnd w:id="544"/>
      <w:bookmarkEnd w:id="545"/>
      <w:bookmarkEnd w:id="546"/>
    </w:p>
    <w:tbl>
      <w:tblPr>
        <w:tblStyle w:val="26"/>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4"/>
        <w:gridCol w:w="926"/>
        <w:gridCol w:w="925"/>
        <w:gridCol w:w="926"/>
        <w:gridCol w:w="928"/>
        <w:gridCol w:w="946"/>
        <w:gridCol w:w="928"/>
        <w:gridCol w:w="1284"/>
        <w:gridCol w:w="928"/>
      </w:tblGrid>
      <w:tr w14:paraId="0848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25" w:type="dxa"/>
            <w:noWrap/>
            <w:vAlign w:val="center"/>
          </w:tcPr>
          <w:p w14:paraId="2896FCAE">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924" w:type="dxa"/>
            <w:noWrap/>
            <w:vAlign w:val="center"/>
          </w:tcPr>
          <w:p w14:paraId="4364C028">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设备</w:t>
            </w:r>
          </w:p>
          <w:p w14:paraId="0F5018E8">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名称</w:t>
            </w:r>
          </w:p>
        </w:tc>
        <w:tc>
          <w:tcPr>
            <w:tcW w:w="926" w:type="dxa"/>
            <w:noWrap/>
            <w:vAlign w:val="center"/>
          </w:tcPr>
          <w:p w14:paraId="32B263F2">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型号</w:t>
            </w:r>
          </w:p>
          <w:p w14:paraId="0E5F023D">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规格</w:t>
            </w:r>
          </w:p>
        </w:tc>
        <w:tc>
          <w:tcPr>
            <w:tcW w:w="925" w:type="dxa"/>
            <w:noWrap/>
            <w:vAlign w:val="center"/>
          </w:tcPr>
          <w:p w14:paraId="05FDC1CD">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926" w:type="dxa"/>
            <w:noWrap/>
            <w:vAlign w:val="center"/>
          </w:tcPr>
          <w:p w14:paraId="77A66294">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国别</w:t>
            </w:r>
          </w:p>
          <w:p w14:paraId="7BACAD20">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产地</w:t>
            </w:r>
          </w:p>
        </w:tc>
        <w:tc>
          <w:tcPr>
            <w:tcW w:w="928" w:type="dxa"/>
            <w:noWrap/>
            <w:vAlign w:val="center"/>
          </w:tcPr>
          <w:p w14:paraId="5B76975B">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制造</w:t>
            </w:r>
          </w:p>
          <w:p w14:paraId="1AE5DD1D">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年份</w:t>
            </w:r>
          </w:p>
        </w:tc>
        <w:tc>
          <w:tcPr>
            <w:tcW w:w="946" w:type="dxa"/>
            <w:noWrap/>
            <w:vAlign w:val="center"/>
          </w:tcPr>
          <w:p w14:paraId="4344C068">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额定功率（KW）</w:t>
            </w:r>
          </w:p>
        </w:tc>
        <w:tc>
          <w:tcPr>
            <w:tcW w:w="928" w:type="dxa"/>
            <w:noWrap/>
            <w:vAlign w:val="center"/>
          </w:tcPr>
          <w:p w14:paraId="7D0A36F7">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生产</w:t>
            </w:r>
          </w:p>
          <w:p w14:paraId="14B2D38C">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能力</w:t>
            </w:r>
          </w:p>
        </w:tc>
        <w:tc>
          <w:tcPr>
            <w:tcW w:w="1284" w:type="dxa"/>
            <w:noWrap/>
            <w:vAlign w:val="center"/>
          </w:tcPr>
          <w:p w14:paraId="667687A7">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用于施工部位</w:t>
            </w:r>
          </w:p>
        </w:tc>
        <w:tc>
          <w:tcPr>
            <w:tcW w:w="928" w:type="dxa"/>
            <w:noWrap/>
            <w:vAlign w:val="center"/>
          </w:tcPr>
          <w:p w14:paraId="2CF5C917">
            <w:pPr>
              <w:tabs>
                <w:tab w:val="left" w:pos="720"/>
              </w:tabs>
              <w:spacing w:line="240" w:lineRule="atLeast"/>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r>
      <w:tr w14:paraId="7F1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25" w:type="dxa"/>
            <w:noWrap/>
            <w:vAlign w:val="center"/>
          </w:tcPr>
          <w:p w14:paraId="538A62E9">
            <w:pPr>
              <w:spacing w:line="440" w:lineRule="exact"/>
              <w:jc w:val="center"/>
              <w:rPr>
                <w:rFonts w:ascii="宋体" w:hAnsi="宋体" w:cs="宋体"/>
                <w:color w:val="auto"/>
                <w:sz w:val="21"/>
                <w:szCs w:val="21"/>
              </w:rPr>
            </w:pPr>
          </w:p>
        </w:tc>
        <w:tc>
          <w:tcPr>
            <w:tcW w:w="924" w:type="dxa"/>
            <w:noWrap/>
            <w:vAlign w:val="center"/>
          </w:tcPr>
          <w:p w14:paraId="046A33E7">
            <w:pPr>
              <w:spacing w:line="440" w:lineRule="exact"/>
              <w:jc w:val="center"/>
              <w:rPr>
                <w:rFonts w:ascii="宋体" w:hAnsi="宋体" w:cs="宋体"/>
                <w:color w:val="auto"/>
                <w:sz w:val="21"/>
                <w:szCs w:val="21"/>
              </w:rPr>
            </w:pPr>
          </w:p>
        </w:tc>
        <w:tc>
          <w:tcPr>
            <w:tcW w:w="926" w:type="dxa"/>
            <w:noWrap/>
            <w:vAlign w:val="center"/>
          </w:tcPr>
          <w:p w14:paraId="75D9B442">
            <w:pPr>
              <w:spacing w:line="440" w:lineRule="exact"/>
              <w:jc w:val="center"/>
              <w:rPr>
                <w:rFonts w:ascii="宋体" w:hAnsi="宋体" w:cs="宋体"/>
                <w:color w:val="auto"/>
                <w:sz w:val="21"/>
                <w:szCs w:val="21"/>
              </w:rPr>
            </w:pPr>
          </w:p>
        </w:tc>
        <w:tc>
          <w:tcPr>
            <w:tcW w:w="925" w:type="dxa"/>
            <w:noWrap/>
            <w:vAlign w:val="center"/>
          </w:tcPr>
          <w:p w14:paraId="617D8E3E">
            <w:pPr>
              <w:spacing w:line="440" w:lineRule="exact"/>
              <w:jc w:val="center"/>
              <w:rPr>
                <w:rFonts w:ascii="宋体" w:hAnsi="宋体" w:cs="宋体"/>
                <w:color w:val="auto"/>
                <w:sz w:val="21"/>
                <w:szCs w:val="21"/>
              </w:rPr>
            </w:pPr>
          </w:p>
        </w:tc>
        <w:tc>
          <w:tcPr>
            <w:tcW w:w="926" w:type="dxa"/>
            <w:noWrap/>
            <w:vAlign w:val="center"/>
          </w:tcPr>
          <w:p w14:paraId="05F38154">
            <w:pPr>
              <w:spacing w:line="440" w:lineRule="exact"/>
              <w:jc w:val="center"/>
              <w:rPr>
                <w:rFonts w:ascii="宋体" w:hAnsi="宋体" w:cs="宋体"/>
                <w:color w:val="auto"/>
                <w:sz w:val="21"/>
                <w:szCs w:val="21"/>
              </w:rPr>
            </w:pPr>
          </w:p>
        </w:tc>
        <w:tc>
          <w:tcPr>
            <w:tcW w:w="928" w:type="dxa"/>
            <w:noWrap/>
            <w:vAlign w:val="center"/>
          </w:tcPr>
          <w:p w14:paraId="1586D6A2">
            <w:pPr>
              <w:spacing w:line="440" w:lineRule="exact"/>
              <w:jc w:val="center"/>
              <w:rPr>
                <w:rFonts w:ascii="宋体" w:hAnsi="宋体" w:cs="宋体"/>
                <w:color w:val="auto"/>
                <w:sz w:val="21"/>
                <w:szCs w:val="21"/>
              </w:rPr>
            </w:pPr>
          </w:p>
        </w:tc>
        <w:tc>
          <w:tcPr>
            <w:tcW w:w="946" w:type="dxa"/>
            <w:noWrap/>
            <w:vAlign w:val="center"/>
          </w:tcPr>
          <w:p w14:paraId="0B4639FD">
            <w:pPr>
              <w:spacing w:line="440" w:lineRule="exact"/>
              <w:jc w:val="center"/>
              <w:rPr>
                <w:rFonts w:ascii="宋体" w:hAnsi="宋体" w:cs="宋体"/>
                <w:color w:val="auto"/>
                <w:sz w:val="21"/>
                <w:szCs w:val="21"/>
              </w:rPr>
            </w:pPr>
          </w:p>
        </w:tc>
        <w:tc>
          <w:tcPr>
            <w:tcW w:w="928" w:type="dxa"/>
            <w:noWrap/>
            <w:vAlign w:val="center"/>
          </w:tcPr>
          <w:p w14:paraId="597FC6F9">
            <w:pPr>
              <w:spacing w:line="440" w:lineRule="exact"/>
              <w:jc w:val="center"/>
              <w:rPr>
                <w:rFonts w:ascii="宋体" w:hAnsi="宋体" w:cs="宋体"/>
                <w:color w:val="auto"/>
                <w:sz w:val="21"/>
                <w:szCs w:val="21"/>
              </w:rPr>
            </w:pPr>
          </w:p>
        </w:tc>
        <w:tc>
          <w:tcPr>
            <w:tcW w:w="1284" w:type="dxa"/>
            <w:noWrap/>
            <w:vAlign w:val="center"/>
          </w:tcPr>
          <w:p w14:paraId="4DBA8489">
            <w:pPr>
              <w:spacing w:line="440" w:lineRule="exact"/>
              <w:jc w:val="center"/>
              <w:rPr>
                <w:rFonts w:ascii="宋体" w:hAnsi="宋体" w:cs="宋体"/>
                <w:color w:val="auto"/>
                <w:sz w:val="21"/>
                <w:szCs w:val="21"/>
              </w:rPr>
            </w:pPr>
          </w:p>
        </w:tc>
        <w:tc>
          <w:tcPr>
            <w:tcW w:w="928" w:type="dxa"/>
            <w:noWrap/>
            <w:vAlign w:val="center"/>
          </w:tcPr>
          <w:p w14:paraId="2E88525B">
            <w:pPr>
              <w:spacing w:line="440" w:lineRule="exact"/>
              <w:jc w:val="center"/>
              <w:rPr>
                <w:rFonts w:ascii="宋体" w:hAnsi="宋体" w:cs="宋体"/>
                <w:color w:val="auto"/>
                <w:sz w:val="21"/>
                <w:szCs w:val="21"/>
              </w:rPr>
            </w:pPr>
          </w:p>
        </w:tc>
      </w:tr>
      <w:tr w14:paraId="1C67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25" w:type="dxa"/>
            <w:noWrap/>
            <w:vAlign w:val="center"/>
          </w:tcPr>
          <w:p w14:paraId="042CB9FE">
            <w:pPr>
              <w:spacing w:line="440" w:lineRule="exact"/>
              <w:jc w:val="center"/>
              <w:rPr>
                <w:rFonts w:ascii="宋体" w:hAnsi="宋体" w:cs="宋体"/>
                <w:color w:val="auto"/>
                <w:sz w:val="21"/>
                <w:szCs w:val="21"/>
              </w:rPr>
            </w:pPr>
          </w:p>
        </w:tc>
        <w:tc>
          <w:tcPr>
            <w:tcW w:w="924" w:type="dxa"/>
            <w:noWrap/>
            <w:vAlign w:val="center"/>
          </w:tcPr>
          <w:p w14:paraId="34A3AA09">
            <w:pPr>
              <w:spacing w:line="440" w:lineRule="exact"/>
              <w:jc w:val="center"/>
              <w:rPr>
                <w:rFonts w:ascii="宋体" w:hAnsi="宋体" w:cs="宋体"/>
                <w:color w:val="auto"/>
                <w:sz w:val="21"/>
                <w:szCs w:val="21"/>
              </w:rPr>
            </w:pPr>
          </w:p>
        </w:tc>
        <w:tc>
          <w:tcPr>
            <w:tcW w:w="926" w:type="dxa"/>
            <w:noWrap/>
            <w:vAlign w:val="center"/>
          </w:tcPr>
          <w:p w14:paraId="600C3A53">
            <w:pPr>
              <w:spacing w:line="440" w:lineRule="exact"/>
              <w:jc w:val="center"/>
              <w:rPr>
                <w:rFonts w:ascii="宋体" w:hAnsi="宋体" w:cs="宋体"/>
                <w:color w:val="auto"/>
                <w:sz w:val="21"/>
                <w:szCs w:val="21"/>
              </w:rPr>
            </w:pPr>
          </w:p>
        </w:tc>
        <w:tc>
          <w:tcPr>
            <w:tcW w:w="925" w:type="dxa"/>
            <w:noWrap/>
            <w:vAlign w:val="center"/>
          </w:tcPr>
          <w:p w14:paraId="52E0807E">
            <w:pPr>
              <w:spacing w:line="440" w:lineRule="exact"/>
              <w:jc w:val="center"/>
              <w:rPr>
                <w:rFonts w:ascii="宋体" w:hAnsi="宋体" w:cs="宋体"/>
                <w:color w:val="auto"/>
                <w:sz w:val="21"/>
                <w:szCs w:val="21"/>
              </w:rPr>
            </w:pPr>
          </w:p>
        </w:tc>
        <w:tc>
          <w:tcPr>
            <w:tcW w:w="926" w:type="dxa"/>
            <w:noWrap/>
            <w:vAlign w:val="center"/>
          </w:tcPr>
          <w:p w14:paraId="665FBE18">
            <w:pPr>
              <w:spacing w:line="440" w:lineRule="exact"/>
              <w:jc w:val="center"/>
              <w:rPr>
                <w:rFonts w:ascii="宋体" w:hAnsi="宋体" w:cs="宋体"/>
                <w:color w:val="auto"/>
                <w:sz w:val="21"/>
                <w:szCs w:val="21"/>
              </w:rPr>
            </w:pPr>
          </w:p>
        </w:tc>
        <w:tc>
          <w:tcPr>
            <w:tcW w:w="928" w:type="dxa"/>
            <w:noWrap/>
            <w:vAlign w:val="center"/>
          </w:tcPr>
          <w:p w14:paraId="1D002E3D">
            <w:pPr>
              <w:spacing w:line="440" w:lineRule="exact"/>
              <w:jc w:val="center"/>
              <w:rPr>
                <w:rFonts w:ascii="宋体" w:hAnsi="宋体" w:cs="宋体"/>
                <w:color w:val="auto"/>
                <w:sz w:val="21"/>
                <w:szCs w:val="21"/>
              </w:rPr>
            </w:pPr>
          </w:p>
        </w:tc>
        <w:tc>
          <w:tcPr>
            <w:tcW w:w="946" w:type="dxa"/>
            <w:noWrap/>
            <w:vAlign w:val="center"/>
          </w:tcPr>
          <w:p w14:paraId="3D612611">
            <w:pPr>
              <w:spacing w:line="440" w:lineRule="exact"/>
              <w:jc w:val="center"/>
              <w:rPr>
                <w:rFonts w:ascii="宋体" w:hAnsi="宋体" w:cs="宋体"/>
                <w:color w:val="auto"/>
                <w:sz w:val="21"/>
                <w:szCs w:val="21"/>
              </w:rPr>
            </w:pPr>
          </w:p>
        </w:tc>
        <w:tc>
          <w:tcPr>
            <w:tcW w:w="928" w:type="dxa"/>
            <w:noWrap/>
            <w:vAlign w:val="center"/>
          </w:tcPr>
          <w:p w14:paraId="2F476DE5">
            <w:pPr>
              <w:spacing w:line="440" w:lineRule="exact"/>
              <w:jc w:val="center"/>
              <w:rPr>
                <w:rFonts w:ascii="宋体" w:hAnsi="宋体" w:cs="宋体"/>
                <w:color w:val="auto"/>
                <w:sz w:val="21"/>
                <w:szCs w:val="21"/>
              </w:rPr>
            </w:pPr>
          </w:p>
        </w:tc>
        <w:tc>
          <w:tcPr>
            <w:tcW w:w="1284" w:type="dxa"/>
            <w:noWrap/>
            <w:vAlign w:val="center"/>
          </w:tcPr>
          <w:p w14:paraId="7C62F901">
            <w:pPr>
              <w:spacing w:line="440" w:lineRule="exact"/>
              <w:jc w:val="center"/>
              <w:rPr>
                <w:rFonts w:ascii="宋体" w:hAnsi="宋体" w:cs="宋体"/>
                <w:color w:val="auto"/>
                <w:sz w:val="21"/>
                <w:szCs w:val="21"/>
              </w:rPr>
            </w:pPr>
          </w:p>
        </w:tc>
        <w:tc>
          <w:tcPr>
            <w:tcW w:w="928" w:type="dxa"/>
            <w:noWrap/>
            <w:vAlign w:val="center"/>
          </w:tcPr>
          <w:p w14:paraId="36EBED5D">
            <w:pPr>
              <w:spacing w:line="440" w:lineRule="exact"/>
              <w:jc w:val="center"/>
              <w:rPr>
                <w:rFonts w:ascii="宋体" w:hAnsi="宋体" w:cs="宋体"/>
                <w:color w:val="auto"/>
                <w:sz w:val="21"/>
                <w:szCs w:val="21"/>
              </w:rPr>
            </w:pPr>
          </w:p>
        </w:tc>
      </w:tr>
      <w:tr w14:paraId="6F76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25" w:type="dxa"/>
            <w:noWrap/>
            <w:vAlign w:val="center"/>
          </w:tcPr>
          <w:p w14:paraId="43F76E53">
            <w:pPr>
              <w:spacing w:line="440" w:lineRule="exact"/>
              <w:jc w:val="center"/>
              <w:rPr>
                <w:rFonts w:ascii="宋体" w:hAnsi="宋体" w:cs="宋体"/>
                <w:color w:val="auto"/>
                <w:sz w:val="21"/>
                <w:szCs w:val="21"/>
              </w:rPr>
            </w:pPr>
          </w:p>
        </w:tc>
        <w:tc>
          <w:tcPr>
            <w:tcW w:w="924" w:type="dxa"/>
            <w:noWrap/>
            <w:vAlign w:val="center"/>
          </w:tcPr>
          <w:p w14:paraId="07FF2F97">
            <w:pPr>
              <w:spacing w:line="440" w:lineRule="exact"/>
              <w:jc w:val="center"/>
              <w:rPr>
                <w:rFonts w:ascii="宋体" w:hAnsi="宋体" w:cs="宋体"/>
                <w:color w:val="auto"/>
                <w:sz w:val="21"/>
                <w:szCs w:val="21"/>
              </w:rPr>
            </w:pPr>
          </w:p>
        </w:tc>
        <w:tc>
          <w:tcPr>
            <w:tcW w:w="926" w:type="dxa"/>
            <w:noWrap/>
            <w:vAlign w:val="center"/>
          </w:tcPr>
          <w:p w14:paraId="6E9C3D9C">
            <w:pPr>
              <w:spacing w:line="440" w:lineRule="exact"/>
              <w:jc w:val="center"/>
              <w:rPr>
                <w:rFonts w:ascii="宋体" w:hAnsi="宋体" w:cs="宋体"/>
                <w:color w:val="auto"/>
                <w:sz w:val="21"/>
                <w:szCs w:val="21"/>
              </w:rPr>
            </w:pPr>
          </w:p>
        </w:tc>
        <w:tc>
          <w:tcPr>
            <w:tcW w:w="925" w:type="dxa"/>
            <w:noWrap/>
            <w:vAlign w:val="center"/>
          </w:tcPr>
          <w:p w14:paraId="387CCCFF">
            <w:pPr>
              <w:spacing w:line="440" w:lineRule="exact"/>
              <w:jc w:val="center"/>
              <w:rPr>
                <w:rFonts w:ascii="宋体" w:hAnsi="宋体" w:cs="宋体"/>
                <w:color w:val="auto"/>
                <w:sz w:val="21"/>
                <w:szCs w:val="21"/>
              </w:rPr>
            </w:pPr>
          </w:p>
        </w:tc>
        <w:tc>
          <w:tcPr>
            <w:tcW w:w="926" w:type="dxa"/>
            <w:noWrap/>
            <w:vAlign w:val="center"/>
          </w:tcPr>
          <w:p w14:paraId="04C4959F">
            <w:pPr>
              <w:spacing w:line="440" w:lineRule="exact"/>
              <w:jc w:val="center"/>
              <w:rPr>
                <w:rFonts w:ascii="宋体" w:hAnsi="宋体" w:cs="宋体"/>
                <w:color w:val="auto"/>
                <w:sz w:val="21"/>
                <w:szCs w:val="21"/>
              </w:rPr>
            </w:pPr>
          </w:p>
        </w:tc>
        <w:tc>
          <w:tcPr>
            <w:tcW w:w="928" w:type="dxa"/>
            <w:noWrap/>
            <w:vAlign w:val="center"/>
          </w:tcPr>
          <w:p w14:paraId="149894B3">
            <w:pPr>
              <w:spacing w:line="440" w:lineRule="exact"/>
              <w:jc w:val="center"/>
              <w:rPr>
                <w:rFonts w:ascii="宋体" w:hAnsi="宋体" w:cs="宋体"/>
                <w:color w:val="auto"/>
                <w:sz w:val="21"/>
                <w:szCs w:val="21"/>
              </w:rPr>
            </w:pPr>
          </w:p>
        </w:tc>
        <w:tc>
          <w:tcPr>
            <w:tcW w:w="946" w:type="dxa"/>
            <w:noWrap/>
            <w:vAlign w:val="center"/>
          </w:tcPr>
          <w:p w14:paraId="24C5C403">
            <w:pPr>
              <w:spacing w:line="440" w:lineRule="exact"/>
              <w:jc w:val="center"/>
              <w:rPr>
                <w:rFonts w:ascii="宋体" w:hAnsi="宋体" w:cs="宋体"/>
                <w:color w:val="auto"/>
                <w:sz w:val="21"/>
                <w:szCs w:val="21"/>
              </w:rPr>
            </w:pPr>
          </w:p>
        </w:tc>
        <w:tc>
          <w:tcPr>
            <w:tcW w:w="928" w:type="dxa"/>
            <w:noWrap/>
            <w:vAlign w:val="center"/>
          </w:tcPr>
          <w:p w14:paraId="11C0553C">
            <w:pPr>
              <w:spacing w:line="440" w:lineRule="exact"/>
              <w:jc w:val="center"/>
              <w:rPr>
                <w:rFonts w:ascii="宋体" w:hAnsi="宋体" w:cs="宋体"/>
                <w:color w:val="auto"/>
                <w:sz w:val="21"/>
                <w:szCs w:val="21"/>
              </w:rPr>
            </w:pPr>
          </w:p>
        </w:tc>
        <w:tc>
          <w:tcPr>
            <w:tcW w:w="1284" w:type="dxa"/>
            <w:noWrap/>
            <w:vAlign w:val="center"/>
          </w:tcPr>
          <w:p w14:paraId="748FE6A7">
            <w:pPr>
              <w:spacing w:line="440" w:lineRule="exact"/>
              <w:jc w:val="center"/>
              <w:rPr>
                <w:rFonts w:ascii="宋体" w:hAnsi="宋体" w:cs="宋体"/>
                <w:color w:val="auto"/>
                <w:sz w:val="21"/>
                <w:szCs w:val="21"/>
              </w:rPr>
            </w:pPr>
          </w:p>
        </w:tc>
        <w:tc>
          <w:tcPr>
            <w:tcW w:w="928" w:type="dxa"/>
            <w:noWrap/>
            <w:vAlign w:val="center"/>
          </w:tcPr>
          <w:p w14:paraId="45D4C78D">
            <w:pPr>
              <w:spacing w:line="440" w:lineRule="exact"/>
              <w:jc w:val="center"/>
              <w:rPr>
                <w:rFonts w:ascii="宋体" w:hAnsi="宋体" w:cs="宋体"/>
                <w:color w:val="auto"/>
                <w:sz w:val="21"/>
                <w:szCs w:val="21"/>
              </w:rPr>
            </w:pPr>
          </w:p>
        </w:tc>
      </w:tr>
      <w:tr w14:paraId="7167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5" w:type="dxa"/>
            <w:noWrap/>
            <w:vAlign w:val="center"/>
          </w:tcPr>
          <w:p w14:paraId="4D0E9242">
            <w:pPr>
              <w:spacing w:line="440" w:lineRule="exact"/>
              <w:jc w:val="center"/>
              <w:rPr>
                <w:rFonts w:ascii="宋体" w:hAnsi="宋体" w:cs="宋体"/>
                <w:color w:val="auto"/>
                <w:sz w:val="21"/>
                <w:szCs w:val="21"/>
              </w:rPr>
            </w:pPr>
          </w:p>
        </w:tc>
        <w:tc>
          <w:tcPr>
            <w:tcW w:w="924" w:type="dxa"/>
            <w:noWrap/>
            <w:vAlign w:val="center"/>
          </w:tcPr>
          <w:p w14:paraId="00151624">
            <w:pPr>
              <w:spacing w:line="440" w:lineRule="exact"/>
              <w:jc w:val="center"/>
              <w:rPr>
                <w:rFonts w:ascii="宋体" w:hAnsi="宋体" w:cs="宋体"/>
                <w:color w:val="auto"/>
                <w:sz w:val="21"/>
                <w:szCs w:val="21"/>
              </w:rPr>
            </w:pPr>
          </w:p>
        </w:tc>
        <w:tc>
          <w:tcPr>
            <w:tcW w:w="926" w:type="dxa"/>
            <w:noWrap/>
            <w:vAlign w:val="center"/>
          </w:tcPr>
          <w:p w14:paraId="1B95210E">
            <w:pPr>
              <w:spacing w:line="440" w:lineRule="exact"/>
              <w:jc w:val="center"/>
              <w:rPr>
                <w:rFonts w:ascii="宋体" w:hAnsi="宋体" w:cs="宋体"/>
                <w:color w:val="auto"/>
                <w:sz w:val="21"/>
                <w:szCs w:val="21"/>
              </w:rPr>
            </w:pPr>
          </w:p>
        </w:tc>
        <w:tc>
          <w:tcPr>
            <w:tcW w:w="925" w:type="dxa"/>
            <w:noWrap/>
            <w:vAlign w:val="center"/>
          </w:tcPr>
          <w:p w14:paraId="5B24BE51">
            <w:pPr>
              <w:spacing w:line="440" w:lineRule="exact"/>
              <w:jc w:val="center"/>
              <w:rPr>
                <w:rFonts w:ascii="宋体" w:hAnsi="宋体" w:cs="宋体"/>
                <w:color w:val="auto"/>
                <w:sz w:val="21"/>
                <w:szCs w:val="21"/>
              </w:rPr>
            </w:pPr>
          </w:p>
        </w:tc>
        <w:tc>
          <w:tcPr>
            <w:tcW w:w="926" w:type="dxa"/>
            <w:noWrap/>
            <w:vAlign w:val="center"/>
          </w:tcPr>
          <w:p w14:paraId="1C00C6A3">
            <w:pPr>
              <w:spacing w:line="440" w:lineRule="exact"/>
              <w:jc w:val="center"/>
              <w:rPr>
                <w:rFonts w:ascii="宋体" w:hAnsi="宋体" w:cs="宋体"/>
                <w:color w:val="auto"/>
                <w:sz w:val="21"/>
                <w:szCs w:val="21"/>
              </w:rPr>
            </w:pPr>
          </w:p>
        </w:tc>
        <w:tc>
          <w:tcPr>
            <w:tcW w:w="928" w:type="dxa"/>
            <w:noWrap/>
            <w:vAlign w:val="center"/>
          </w:tcPr>
          <w:p w14:paraId="25D51BD9">
            <w:pPr>
              <w:spacing w:line="440" w:lineRule="exact"/>
              <w:jc w:val="center"/>
              <w:rPr>
                <w:rFonts w:ascii="宋体" w:hAnsi="宋体" w:cs="宋体"/>
                <w:color w:val="auto"/>
                <w:sz w:val="21"/>
                <w:szCs w:val="21"/>
              </w:rPr>
            </w:pPr>
          </w:p>
        </w:tc>
        <w:tc>
          <w:tcPr>
            <w:tcW w:w="946" w:type="dxa"/>
            <w:noWrap/>
            <w:vAlign w:val="center"/>
          </w:tcPr>
          <w:p w14:paraId="1989DF9B">
            <w:pPr>
              <w:spacing w:line="440" w:lineRule="exact"/>
              <w:jc w:val="center"/>
              <w:rPr>
                <w:rFonts w:ascii="宋体" w:hAnsi="宋体" w:cs="宋体"/>
                <w:color w:val="auto"/>
                <w:sz w:val="21"/>
                <w:szCs w:val="21"/>
              </w:rPr>
            </w:pPr>
          </w:p>
        </w:tc>
        <w:tc>
          <w:tcPr>
            <w:tcW w:w="928" w:type="dxa"/>
            <w:noWrap/>
            <w:vAlign w:val="center"/>
          </w:tcPr>
          <w:p w14:paraId="09D6AEEB">
            <w:pPr>
              <w:spacing w:line="440" w:lineRule="exact"/>
              <w:jc w:val="center"/>
              <w:rPr>
                <w:rFonts w:ascii="宋体" w:hAnsi="宋体" w:cs="宋体"/>
                <w:color w:val="auto"/>
                <w:sz w:val="21"/>
                <w:szCs w:val="21"/>
              </w:rPr>
            </w:pPr>
          </w:p>
        </w:tc>
        <w:tc>
          <w:tcPr>
            <w:tcW w:w="1284" w:type="dxa"/>
            <w:noWrap/>
            <w:vAlign w:val="center"/>
          </w:tcPr>
          <w:p w14:paraId="274B4C88">
            <w:pPr>
              <w:spacing w:line="440" w:lineRule="exact"/>
              <w:jc w:val="center"/>
              <w:rPr>
                <w:rFonts w:ascii="宋体" w:hAnsi="宋体" w:cs="宋体"/>
                <w:color w:val="auto"/>
                <w:sz w:val="21"/>
                <w:szCs w:val="21"/>
              </w:rPr>
            </w:pPr>
          </w:p>
        </w:tc>
        <w:tc>
          <w:tcPr>
            <w:tcW w:w="928" w:type="dxa"/>
            <w:noWrap/>
            <w:vAlign w:val="center"/>
          </w:tcPr>
          <w:p w14:paraId="74FA52C0">
            <w:pPr>
              <w:spacing w:line="440" w:lineRule="exact"/>
              <w:jc w:val="center"/>
              <w:rPr>
                <w:rFonts w:ascii="宋体" w:hAnsi="宋体" w:cs="宋体"/>
                <w:color w:val="auto"/>
                <w:sz w:val="21"/>
                <w:szCs w:val="21"/>
              </w:rPr>
            </w:pPr>
          </w:p>
        </w:tc>
      </w:tr>
      <w:tr w14:paraId="2403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5" w:type="dxa"/>
            <w:noWrap/>
            <w:vAlign w:val="center"/>
          </w:tcPr>
          <w:p w14:paraId="5BF956F0">
            <w:pPr>
              <w:spacing w:line="440" w:lineRule="exact"/>
              <w:jc w:val="center"/>
              <w:rPr>
                <w:rFonts w:ascii="宋体" w:hAnsi="宋体" w:cs="宋体"/>
                <w:color w:val="auto"/>
                <w:sz w:val="21"/>
                <w:szCs w:val="21"/>
              </w:rPr>
            </w:pPr>
          </w:p>
        </w:tc>
        <w:tc>
          <w:tcPr>
            <w:tcW w:w="924" w:type="dxa"/>
            <w:noWrap/>
            <w:vAlign w:val="center"/>
          </w:tcPr>
          <w:p w14:paraId="11B733F9">
            <w:pPr>
              <w:spacing w:line="440" w:lineRule="exact"/>
              <w:jc w:val="center"/>
              <w:rPr>
                <w:rFonts w:ascii="宋体" w:hAnsi="宋体" w:cs="宋体"/>
                <w:color w:val="auto"/>
                <w:sz w:val="21"/>
                <w:szCs w:val="21"/>
              </w:rPr>
            </w:pPr>
          </w:p>
        </w:tc>
        <w:tc>
          <w:tcPr>
            <w:tcW w:w="926" w:type="dxa"/>
            <w:noWrap/>
            <w:vAlign w:val="center"/>
          </w:tcPr>
          <w:p w14:paraId="78892691">
            <w:pPr>
              <w:spacing w:line="440" w:lineRule="exact"/>
              <w:jc w:val="center"/>
              <w:rPr>
                <w:rFonts w:ascii="宋体" w:hAnsi="宋体" w:cs="宋体"/>
                <w:color w:val="auto"/>
                <w:sz w:val="21"/>
                <w:szCs w:val="21"/>
              </w:rPr>
            </w:pPr>
          </w:p>
        </w:tc>
        <w:tc>
          <w:tcPr>
            <w:tcW w:w="925" w:type="dxa"/>
            <w:noWrap/>
            <w:vAlign w:val="center"/>
          </w:tcPr>
          <w:p w14:paraId="1D5A243A">
            <w:pPr>
              <w:spacing w:line="440" w:lineRule="exact"/>
              <w:jc w:val="center"/>
              <w:rPr>
                <w:rFonts w:ascii="宋体" w:hAnsi="宋体" w:cs="宋体"/>
                <w:color w:val="auto"/>
                <w:sz w:val="21"/>
                <w:szCs w:val="21"/>
              </w:rPr>
            </w:pPr>
          </w:p>
        </w:tc>
        <w:tc>
          <w:tcPr>
            <w:tcW w:w="926" w:type="dxa"/>
            <w:noWrap/>
            <w:vAlign w:val="center"/>
          </w:tcPr>
          <w:p w14:paraId="07EF511D">
            <w:pPr>
              <w:spacing w:line="440" w:lineRule="exact"/>
              <w:jc w:val="center"/>
              <w:rPr>
                <w:rFonts w:ascii="宋体" w:hAnsi="宋体" w:cs="宋体"/>
                <w:color w:val="auto"/>
                <w:sz w:val="21"/>
                <w:szCs w:val="21"/>
              </w:rPr>
            </w:pPr>
          </w:p>
        </w:tc>
        <w:tc>
          <w:tcPr>
            <w:tcW w:w="928" w:type="dxa"/>
            <w:noWrap/>
            <w:vAlign w:val="center"/>
          </w:tcPr>
          <w:p w14:paraId="2D37ED49">
            <w:pPr>
              <w:spacing w:line="440" w:lineRule="exact"/>
              <w:jc w:val="center"/>
              <w:rPr>
                <w:rFonts w:ascii="宋体" w:hAnsi="宋体" w:cs="宋体"/>
                <w:color w:val="auto"/>
                <w:sz w:val="21"/>
                <w:szCs w:val="21"/>
              </w:rPr>
            </w:pPr>
          </w:p>
        </w:tc>
        <w:tc>
          <w:tcPr>
            <w:tcW w:w="946" w:type="dxa"/>
            <w:noWrap/>
            <w:vAlign w:val="center"/>
          </w:tcPr>
          <w:p w14:paraId="69AC4EED">
            <w:pPr>
              <w:spacing w:line="440" w:lineRule="exact"/>
              <w:jc w:val="center"/>
              <w:rPr>
                <w:rFonts w:ascii="宋体" w:hAnsi="宋体" w:cs="宋体"/>
                <w:color w:val="auto"/>
                <w:sz w:val="21"/>
                <w:szCs w:val="21"/>
              </w:rPr>
            </w:pPr>
          </w:p>
        </w:tc>
        <w:tc>
          <w:tcPr>
            <w:tcW w:w="928" w:type="dxa"/>
            <w:noWrap/>
            <w:vAlign w:val="center"/>
          </w:tcPr>
          <w:p w14:paraId="5A456625">
            <w:pPr>
              <w:spacing w:line="440" w:lineRule="exact"/>
              <w:jc w:val="center"/>
              <w:rPr>
                <w:rFonts w:ascii="宋体" w:hAnsi="宋体" w:cs="宋体"/>
                <w:color w:val="auto"/>
                <w:sz w:val="21"/>
                <w:szCs w:val="21"/>
              </w:rPr>
            </w:pPr>
          </w:p>
        </w:tc>
        <w:tc>
          <w:tcPr>
            <w:tcW w:w="1284" w:type="dxa"/>
            <w:noWrap/>
            <w:vAlign w:val="center"/>
          </w:tcPr>
          <w:p w14:paraId="3ABD9958">
            <w:pPr>
              <w:spacing w:line="440" w:lineRule="exact"/>
              <w:jc w:val="center"/>
              <w:rPr>
                <w:rFonts w:ascii="宋体" w:hAnsi="宋体" w:cs="宋体"/>
                <w:color w:val="auto"/>
                <w:sz w:val="21"/>
                <w:szCs w:val="21"/>
              </w:rPr>
            </w:pPr>
          </w:p>
        </w:tc>
        <w:tc>
          <w:tcPr>
            <w:tcW w:w="928" w:type="dxa"/>
            <w:noWrap/>
            <w:vAlign w:val="center"/>
          </w:tcPr>
          <w:p w14:paraId="659E56A5">
            <w:pPr>
              <w:spacing w:line="440" w:lineRule="exact"/>
              <w:jc w:val="center"/>
              <w:rPr>
                <w:rFonts w:ascii="宋体" w:hAnsi="宋体" w:cs="宋体"/>
                <w:color w:val="auto"/>
                <w:sz w:val="21"/>
                <w:szCs w:val="21"/>
              </w:rPr>
            </w:pPr>
          </w:p>
        </w:tc>
      </w:tr>
    </w:tbl>
    <w:p w14:paraId="62341A68">
      <w:pPr>
        <w:spacing w:line="360" w:lineRule="auto"/>
        <w:ind w:firstLine="3780" w:firstLineChars="1800"/>
        <w:rPr>
          <w:rFonts w:ascii="宋体" w:hAnsi="宋体" w:eastAsia="宋体" w:cs="宋体"/>
          <w:color w:val="auto"/>
          <w:sz w:val="21"/>
          <w:szCs w:val="21"/>
        </w:rPr>
      </w:pPr>
    </w:p>
    <w:p w14:paraId="41E94017">
      <w:pPr>
        <w:spacing w:line="360" w:lineRule="auto"/>
        <w:ind w:firstLine="3780" w:firstLineChars="1800"/>
        <w:rPr>
          <w:rFonts w:ascii="宋体" w:hAnsi="宋体" w:eastAsia="宋体" w:cs="宋体"/>
          <w:color w:val="auto"/>
          <w:sz w:val="21"/>
          <w:szCs w:val="21"/>
        </w:rPr>
      </w:pPr>
      <w:r>
        <w:rPr>
          <w:rFonts w:hint="eastAsia" w:ascii="宋体" w:hAnsi="宋体" w:eastAsia="宋体" w:cs="宋体"/>
          <w:color w:val="auto"/>
          <w:sz w:val="21"/>
          <w:szCs w:val="21"/>
        </w:rPr>
        <w:t>磋商供应商代表（签字或盖章）：</w:t>
      </w:r>
    </w:p>
    <w:p w14:paraId="6A9691CA">
      <w:pPr>
        <w:spacing w:line="360" w:lineRule="auto"/>
        <w:ind w:firstLine="3780" w:firstLineChars="1800"/>
        <w:rPr>
          <w:rFonts w:ascii="宋体" w:hAnsi="宋体" w:eastAsia="宋体" w:cs="宋体"/>
          <w:color w:val="auto"/>
          <w:sz w:val="21"/>
          <w:szCs w:val="21"/>
        </w:rPr>
      </w:pPr>
    </w:p>
    <w:p w14:paraId="6C7CBEEE">
      <w:pPr>
        <w:spacing w:line="360" w:lineRule="auto"/>
        <w:ind w:firstLine="3780" w:firstLineChars="1800"/>
        <w:rPr>
          <w:rFonts w:ascii="宋体" w:hAnsi="宋体" w:eastAsia="宋体" w:cs="宋体"/>
          <w:color w:val="auto"/>
          <w:sz w:val="21"/>
          <w:szCs w:val="21"/>
          <w:lang w:val="zh-CN"/>
        </w:rPr>
      </w:pPr>
      <w:r>
        <w:rPr>
          <w:rFonts w:hint="eastAsia" w:ascii="宋体" w:hAnsi="宋体" w:eastAsia="宋体" w:cs="宋体"/>
          <w:color w:val="auto"/>
          <w:sz w:val="21"/>
          <w:szCs w:val="21"/>
        </w:rPr>
        <w:t>磋商供应商名称（盖章）</w:t>
      </w:r>
      <w:r>
        <w:rPr>
          <w:rFonts w:hint="eastAsia" w:ascii="宋体" w:hAnsi="宋体" w:eastAsia="宋体" w:cs="宋体"/>
          <w:color w:val="auto"/>
          <w:sz w:val="21"/>
          <w:szCs w:val="21"/>
          <w:lang w:val="zh-CN"/>
        </w:rPr>
        <w:t>：</w:t>
      </w:r>
    </w:p>
    <w:p w14:paraId="4A5C1B3B">
      <w:pPr>
        <w:spacing w:line="440" w:lineRule="exact"/>
        <w:rPr>
          <w:rFonts w:ascii="宋体" w:hAnsi="宋体" w:cs="宋体"/>
          <w:color w:val="auto"/>
          <w:sz w:val="20"/>
        </w:rPr>
      </w:pPr>
      <w:r>
        <w:rPr>
          <w:rFonts w:hint="eastAsia" w:ascii="宋体" w:hAnsi="宋体" w:eastAsia="宋体" w:cs="宋体"/>
          <w:color w:val="auto"/>
          <w:sz w:val="21"/>
          <w:szCs w:val="21"/>
          <w:lang w:val="zh-CN"/>
        </w:rPr>
        <w:t xml:space="preserve">                                              日 期：</w:t>
      </w:r>
    </w:p>
    <w:p w14:paraId="2A71A86C">
      <w:pPr>
        <w:tabs>
          <w:tab w:val="left" w:pos="720"/>
        </w:tabs>
        <w:spacing w:line="360" w:lineRule="auto"/>
        <w:outlineLvl w:val="0"/>
        <w:rPr>
          <w:rFonts w:ascii="宋体" w:hAnsi="宋体" w:cs="宋体"/>
          <w:b/>
          <w:color w:val="auto"/>
          <w:sz w:val="24"/>
        </w:rPr>
      </w:pPr>
      <w:bookmarkStart w:id="547" w:name="_Toc26491_WPSOffice_Level2"/>
      <w:bookmarkStart w:id="548" w:name="_Toc28889"/>
      <w:bookmarkStart w:id="549" w:name="_Toc23409_WPSOffice_Level2"/>
      <w:bookmarkStart w:id="550" w:name="_Toc13628_WPSOffice_Level2"/>
    </w:p>
    <w:p w14:paraId="4265D046">
      <w:pPr>
        <w:tabs>
          <w:tab w:val="left" w:pos="720"/>
        </w:tabs>
        <w:spacing w:line="360" w:lineRule="auto"/>
        <w:outlineLvl w:val="0"/>
        <w:rPr>
          <w:rFonts w:ascii="宋体" w:hAnsi="宋体" w:cs="宋体"/>
          <w:b/>
          <w:color w:val="auto"/>
          <w:sz w:val="24"/>
        </w:rPr>
      </w:pPr>
    </w:p>
    <w:p w14:paraId="20D72136">
      <w:pPr>
        <w:tabs>
          <w:tab w:val="left" w:pos="720"/>
        </w:tabs>
        <w:spacing w:line="360" w:lineRule="auto"/>
        <w:outlineLvl w:val="0"/>
        <w:rPr>
          <w:rFonts w:ascii="宋体" w:hAnsi="宋体" w:cs="宋体"/>
          <w:b/>
          <w:color w:val="auto"/>
          <w:sz w:val="24"/>
        </w:rPr>
      </w:pPr>
    </w:p>
    <w:p w14:paraId="14F6A408">
      <w:pPr>
        <w:tabs>
          <w:tab w:val="left" w:pos="720"/>
        </w:tabs>
        <w:spacing w:line="360" w:lineRule="auto"/>
        <w:outlineLvl w:val="0"/>
        <w:rPr>
          <w:rFonts w:ascii="宋体" w:hAnsi="宋体" w:cs="宋体"/>
          <w:b/>
          <w:color w:val="auto"/>
          <w:sz w:val="24"/>
        </w:rPr>
      </w:pPr>
    </w:p>
    <w:p w14:paraId="1B34DA02">
      <w:pPr>
        <w:tabs>
          <w:tab w:val="left" w:pos="720"/>
        </w:tabs>
        <w:spacing w:line="360" w:lineRule="auto"/>
        <w:outlineLvl w:val="0"/>
        <w:rPr>
          <w:rFonts w:ascii="宋体" w:hAnsi="宋体" w:cs="宋体"/>
          <w:b/>
          <w:color w:val="auto"/>
          <w:sz w:val="24"/>
        </w:rPr>
      </w:pPr>
    </w:p>
    <w:p w14:paraId="3E4B05AD">
      <w:pPr>
        <w:tabs>
          <w:tab w:val="left" w:pos="720"/>
        </w:tabs>
        <w:spacing w:line="360" w:lineRule="auto"/>
        <w:outlineLvl w:val="0"/>
        <w:rPr>
          <w:rFonts w:ascii="宋体" w:hAnsi="宋体" w:cs="宋体"/>
          <w:b/>
          <w:color w:val="auto"/>
          <w:sz w:val="24"/>
        </w:rPr>
      </w:pPr>
    </w:p>
    <w:p w14:paraId="451D453D">
      <w:pPr>
        <w:tabs>
          <w:tab w:val="left" w:pos="720"/>
        </w:tabs>
        <w:spacing w:line="360" w:lineRule="auto"/>
        <w:outlineLvl w:val="0"/>
        <w:rPr>
          <w:rFonts w:ascii="宋体" w:hAnsi="宋体" w:cs="宋体"/>
          <w:b/>
          <w:color w:val="auto"/>
          <w:sz w:val="24"/>
        </w:rPr>
      </w:pPr>
    </w:p>
    <w:p w14:paraId="1F9A6B9F">
      <w:pPr>
        <w:tabs>
          <w:tab w:val="left" w:pos="720"/>
        </w:tabs>
        <w:spacing w:line="360" w:lineRule="auto"/>
        <w:outlineLvl w:val="0"/>
        <w:rPr>
          <w:rFonts w:ascii="宋体" w:hAnsi="宋体" w:cs="宋体"/>
          <w:b/>
          <w:color w:val="auto"/>
          <w:sz w:val="24"/>
        </w:rPr>
      </w:pPr>
    </w:p>
    <w:p w14:paraId="658D8AE4">
      <w:pPr>
        <w:tabs>
          <w:tab w:val="left" w:pos="720"/>
        </w:tabs>
        <w:spacing w:line="360" w:lineRule="auto"/>
        <w:outlineLvl w:val="0"/>
        <w:rPr>
          <w:rFonts w:ascii="宋体" w:hAnsi="宋体" w:cs="宋体"/>
          <w:b/>
          <w:color w:val="auto"/>
          <w:sz w:val="24"/>
        </w:rPr>
      </w:pPr>
    </w:p>
    <w:p w14:paraId="7CBFF892">
      <w:pPr>
        <w:pStyle w:val="37"/>
        <w:rPr>
          <w:rFonts w:ascii="宋体" w:hAnsi="宋体" w:cs="宋体"/>
          <w:b/>
          <w:color w:val="auto"/>
          <w:sz w:val="24"/>
        </w:rPr>
      </w:pPr>
    </w:p>
    <w:p w14:paraId="0345FCDB">
      <w:pPr>
        <w:pStyle w:val="37"/>
        <w:rPr>
          <w:rFonts w:ascii="宋体" w:hAnsi="宋体" w:cs="宋体"/>
          <w:b/>
          <w:color w:val="auto"/>
          <w:sz w:val="24"/>
        </w:rPr>
      </w:pPr>
    </w:p>
    <w:p w14:paraId="14123D35">
      <w:pPr>
        <w:tabs>
          <w:tab w:val="left" w:pos="720"/>
        </w:tabs>
        <w:spacing w:line="360" w:lineRule="auto"/>
        <w:outlineLvl w:val="0"/>
        <w:rPr>
          <w:rFonts w:ascii="宋体" w:hAnsi="宋体" w:cs="宋体"/>
          <w:b/>
          <w:color w:val="auto"/>
          <w:sz w:val="24"/>
        </w:rPr>
      </w:pPr>
    </w:p>
    <w:p w14:paraId="650C3D0C">
      <w:pPr>
        <w:tabs>
          <w:tab w:val="left" w:pos="720"/>
        </w:tabs>
        <w:spacing w:line="360" w:lineRule="auto"/>
        <w:outlineLvl w:val="0"/>
        <w:rPr>
          <w:rFonts w:ascii="宋体" w:hAnsi="宋体" w:cs="宋体" w:eastAsiaTheme="minorEastAsia"/>
          <w:b/>
          <w:color w:val="auto"/>
          <w:sz w:val="24"/>
        </w:rPr>
      </w:pPr>
    </w:p>
    <w:p w14:paraId="10D2DBE1">
      <w:pPr>
        <w:pStyle w:val="37"/>
        <w:rPr>
          <w:rFonts w:eastAsiaTheme="minorEastAsia"/>
          <w:color w:val="auto"/>
          <w:lang w:val="en-US"/>
        </w:rPr>
      </w:pPr>
    </w:p>
    <w:p w14:paraId="73B81B0C">
      <w:pPr>
        <w:tabs>
          <w:tab w:val="left" w:pos="720"/>
        </w:tabs>
        <w:spacing w:line="360" w:lineRule="auto"/>
        <w:outlineLvl w:val="0"/>
        <w:rPr>
          <w:rFonts w:ascii="宋体" w:hAnsi="宋体" w:cs="宋体"/>
          <w:b/>
          <w:color w:val="auto"/>
          <w:sz w:val="24"/>
        </w:rPr>
      </w:pPr>
    </w:p>
    <w:p w14:paraId="766AF34F">
      <w:pPr>
        <w:tabs>
          <w:tab w:val="left" w:pos="720"/>
        </w:tabs>
        <w:spacing w:line="360" w:lineRule="auto"/>
        <w:outlineLvl w:val="0"/>
        <w:rPr>
          <w:rFonts w:ascii="宋体" w:hAnsi="宋体" w:cs="宋体"/>
          <w:b/>
          <w:color w:val="auto"/>
          <w:sz w:val="24"/>
        </w:rPr>
      </w:pPr>
    </w:p>
    <w:bookmarkEnd w:id="547"/>
    <w:bookmarkEnd w:id="548"/>
    <w:bookmarkEnd w:id="549"/>
    <w:bookmarkEnd w:id="550"/>
    <w:p w14:paraId="7BEFC1F7">
      <w:pPr>
        <w:rPr>
          <w:color w:val="auto"/>
          <w:lang w:val="zh-CN"/>
        </w:rPr>
      </w:pPr>
    </w:p>
    <w:p w14:paraId="0982C4E3">
      <w:pPr>
        <w:pStyle w:val="3"/>
        <w:ind w:firstLine="0" w:firstLineChars="0"/>
        <w:rPr>
          <w:rFonts w:ascii="宋体" w:hAnsi="宋体" w:eastAsia="宋体"/>
          <w:color w:val="auto"/>
          <w:lang w:val="zh-CN"/>
        </w:rPr>
      </w:pPr>
    </w:p>
    <w:p w14:paraId="191EEC1B">
      <w:pPr>
        <w:pStyle w:val="5"/>
        <w:spacing w:beforeLines="100" w:line="360" w:lineRule="auto"/>
        <w:jc w:val="center"/>
        <w:rPr>
          <w:rFonts w:ascii="宋体" w:hAnsi="宋体" w:eastAsia="宋体"/>
          <w:bCs w:val="0"/>
          <w:color w:val="auto"/>
          <w:lang w:val="zh-CN"/>
        </w:rPr>
      </w:pPr>
      <w:r>
        <w:rPr>
          <w:rFonts w:hint="eastAsia" w:ascii="宋体" w:hAnsi="宋体" w:eastAsia="宋体"/>
          <w:bCs w:val="0"/>
          <w:color w:val="auto"/>
          <w:lang w:val="zh-CN"/>
        </w:rPr>
        <w:t>3、报价文件格式</w:t>
      </w:r>
      <w:bookmarkEnd w:id="541"/>
      <w:bookmarkEnd w:id="542"/>
    </w:p>
    <w:p w14:paraId="7A7364B2">
      <w:pPr>
        <w:spacing w:before="100" w:beforeAutospacing="1" w:line="360" w:lineRule="auto"/>
        <w:jc w:val="center"/>
        <w:rPr>
          <w:rFonts w:ascii="宋体" w:hAnsi="宋体"/>
          <w:b/>
          <w:bCs/>
          <w:color w:val="auto"/>
          <w:sz w:val="28"/>
          <w:szCs w:val="28"/>
        </w:rPr>
      </w:pPr>
      <w:r>
        <w:rPr>
          <w:rFonts w:hint="eastAsia" w:ascii="宋体" w:hAnsi="宋体"/>
          <w:b/>
          <w:bCs/>
          <w:color w:val="auto"/>
          <w:sz w:val="28"/>
          <w:szCs w:val="28"/>
        </w:rPr>
        <w:t>目   录</w:t>
      </w:r>
    </w:p>
    <w:p w14:paraId="25255D6B">
      <w:pPr>
        <w:spacing w:line="480" w:lineRule="auto"/>
        <w:jc w:val="center"/>
        <w:rPr>
          <w:rFonts w:ascii="宋体" w:hAnsi="宋体" w:cs="宋体"/>
          <w:color w:val="auto"/>
          <w:sz w:val="24"/>
        </w:rPr>
      </w:pPr>
      <w:r>
        <w:rPr>
          <w:rFonts w:hint="eastAsia" w:ascii="宋体" w:hAnsi="宋体" w:cs="宋体"/>
          <w:color w:val="auto"/>
          <w:sz w:val="24"/>
        </w:rPr>
        <w:t>（供应商可参考采购文件“第三部分 磋商须知”报价文件组成要求编排）</w:t>
      </w:r>
    </w:p>
    <w:p w14:paraId="08A164AD">
      <w:pPr>
        <w:snapToGrid w:val="0"/>
        <w:spacing w:before="50" w:after="50"/>
        <w:jc w:val="center"/>
        <w:rPr>
          <w:rFonts w:ascii="宋体" w:hAnsi="宋体" w:eastAsia="宋体" w:cs="宋体"/>
          <w:b/>
          <w:color w:val="auto"/>
          <w:sz w:val="24"/>
        </w:rPr>
      </w:pPr>
    </w:p>
    <w:p w14:paraId="2FD89B34">
      <w:pPr>
        <w:pStyle w:val="3"/>
        <w:ind w:firstLine="241"/>
        <w:rPr>
          <w:rFonts w:ascii="宋体" w:hAnsi="宋体" w:eastAsia="宋体" w:cs="宋体"/>
          <w:b/>
          <w:color w:val="auto"/>
          <w:sz w:val="24"/>
          <w:szCs w:val="24"/>
        </w:rPr>
      </w:pPr>
    </w:p>
    <w:p w14:paraId="414AABC7">
      <w:pPr>
        <w:pStyle w:val="3"/>
        <w:ind w:firstLine="241"/>
        <w:rPr>
          <w:rFonts w:ascii="宋体" w:hAnsi="宋体" w:eastAsia="宋体" w:cs="宋体"/>
          <w:b/>
          <w:color w:val="auto"/>
          <w:sz w:val="24"/>
          <w:szCs w:val="24"/>
        </w:rPr>
      </w:pPr>
    </w:p>
    <w:p w14:paraId="08DAE44D">
      <w:pPr>
        <w:pStyle w:val="3"/>
        <w:ind w:firstLine="241"/>
        <w:rPr>
          <w:rFonts w:ascii="宋体" w:hAnsi="宋体" w:eastAsia="宋体" w:cs="宋体"/>
          <w:b/>
          <w:color w:val="auto"/>
          <w:sz w:val="24"/>
          <w:szCs w:val="24"/>
        </w:rPr>
      </w:pPr>
    </w:p>
    <w:p w14:paraId="16E3A97D">
      <w:pPr>
        <w:pStyle w:val="3"/>
        <w:ind w:firstLine="241"/>
        <w:rPr>
          <w:rFonts w:ascii="宋体" w:hAnsi="宋体" w:eastAsia="宋体" w:cs="宋体"/>
          <w:b/>
          <w:color w:val="auto"/>
          <w:sz w:val="24"/>
          <w:szCs w:val="24"/>
        </w:rPr>
      </w:pPr>
    </w:p>
    <w:p w14:paraId="4B229255">
      <w:pPr>
        <w:pStyle w:val="3"/>
        <w:ind w:firstLine="241"/>
        <w:rPr>
          <w:rFonts w:ascii="宋体" w:hAnsi="宋体" w:eastAsia="宋体" w:cs="宋体"/>
          <w:b/>
          <w:color w:val="auto"/>
          <w:sz w:val="24"/>
          <w:szCs w:val="24"/>
        </w:rPr>
      </w:pPr>
    </w:p>
    <w:p w14:paraId="1C9BA113">
      <w:pPr>
        <w:pStyle w:val="3"/>
        <w:ind w:firstLine="241"/>
        <w:rPr>
          <w:rFonts w:ascii="宋体" w:hAnsi="宋体" w:eastAsia="宋体" w:cs="宋体"/>
          <w:b/>
          <w:color w:val="auto"/>
          <w:sz w:val="24"/>
          <w:szCs w:val="24"/>
        </w:rPr>
      </w:pPr>
    </w:p>
    <w:p w14:paraId="1F20CF28">
      <w:pPr>
        <w:pStyle w:val="3"/>
        <w:ind w:firstLine="241"/>
        <w:rPr>
          <w:rFonts w:ascii="宋体" w:hAnsi="宋体" w:eastAsia="宋体" w:cs="宋体"/>
          <w:b/>
          <w:color w:val="auto"/>
          <w:sz w:val="24"/>
          <w:szCs w:val="24"/>
        </w:rPr>
      </w:pPr>
    </w:p>
    <w:p w14:paraId="1F615358">
      <w:pPr>
        <w:pStyle w:val="3"/>
        <w:ind w:firstLine="241"/>
        <w:rPr>
          <w:rFonts w:ascii="宋体" w:hAnsi="宋体" w:eastAsia="宋体" w:cs="宋体"/>
          <w:b/>
          <w:color w:val="auto"/>
          <w:sz w:val="24"/>
          <w:szCs w:val="24"/>
        </w:rPr>
      </w:pPr>
    </w:p>
    <w:p w14:paraId="3A48EDB0">
      <w:pPr>
        <w:pStyle w:val="3"/>
        <w:ind w:firstLine="241"/>
        <w:rPr>
          <w:rFonts w:ascii="宋体" w:hAnsi="宋体" w:eastAsia="宋体" w:cs="宋体"/>
          <w:b/>
          <w:color w:val="auto"/>
          <w:sz w:val="24"/>
          <w:szCs w:val="24"/>
        </w:rPr>
      </w:pPr>
    </w:p>
    <w:p w14:paraId="55898386">
      <w:pPr>
        <w:pStyle w:val="3"/>
        <w:ind w:firstLine="241"/>
        <w:rPr>
          <w:rFonts w:ascii="宋体" w:hAnsi="宋体" w:eastAsia="宋体" w:cs="宋体"/>
          <w:b/>
          <w:color w:val="auto"/>
          <w:sz w:val="24"/>
          <w:szCs w:val="24"/>
        </w:rPr>
      </w:pPr>
    </w:p>
    <w:p w14:paraId="13ED1B9F">
      <w:pPr>
        <w:pStyle w:val="3"/>
        <w:ind w:firstLine="241"/>
        <w:rPr>
          <w:rFonts w:ascii="宋体" w:hAnsi="宋体" w:eastAsia="宋体" w:cs="宋体"/>
          <w:b/>
          <w:color w:val="auto"/>
          <w:sz w:val="24"/>
          <w:szCs w:val="24"/>
        </w:rPr>
      </w:pPr>
    </w:p>
    <w:p w14:paraId="5AFF0291">
      <w:pPr>
        <w:pStyle w:val="3"/>
        <w:ind w:firstLine="241"/>
        <w:rPr>
          <w:rFonts w:ascii="宋体" w:hAnsi="宋体" w:eastAsia="宋体" w:cs="宋体"/>
          <w:b/>
          <w:color w:val="auto"/>
          <w:sz w:val="24"/>
          <w:szCs w:val="24"/>
        </w:rPr>
      </w:pPr>
    </w:p>
    <w:p w14:paraId="495D87E4">
      <w:pPr>
        <w:pStyle w:val="3"/>
        <w:ind w:firstLine="241"/>
        <w:rPr>
          <w:rFonts w:ascii="宋体" w:hAnsi="宋体" w:eastAsia="宋体" w:cs="宋体"/>
          <w:b/>
          <w:color w:val="auto"/>
          <w:sz w:val="24"/>
          <w:szCs w:val="24"/>
        </w:rPr>
      </w:pPr>
    </w:p>
    <w:p w14:paraId="4FB58535">
      <w:pPr>
        <w:pStyle w:val="3"/>
        <w:ind w:firstLine="241"/>
        <w:rPr>
          <w:rFonts w:ascii="宋体" w:hAnsi="宋体" w:eastAsia="宋体" w:cs="宋体"/>
          <w:b/>
          <w:color w:val="auto"/>
          <w:sz w:val="24"/>
          <w:szCs w:val="24"/>
        </w:rPr>
      </w:pPr>
    </w:p>
    <w:p w14:paraId="4FD4DEEE">
      <w:pPr>
        <w:pStyle w:val="3"/>
        <w:ind w:firstLine="241"/>
        <w:rPr>
          <w:rFonts w:ascii="宋体" w:hAnsi="宋体" w:eastAsia="宋体" w:cs="宋体"/>
          <w:b/>
          <w:color w:val="auto"/>
          <w:sz w:val="24"/>
          <w:szCs w:val="24"/>
        </w:rPr>
      </w:pPr>
    </w:p>
    <w:p w14:paraId="661BDC64">
      <w:pPr>
        <w:pStyle w:val="3"/>
        <w:ind w:firstLine="241"/>
        <w:rPr>
          <w:rFonts w:ascii="宋体" w:hAnsi="宋体" w:eastAsia="宋体" w:cs="宋体"/>
          <w:b/>
          <w:color w:val="auto"/>
          <w:sz w:val="24"/>
          <w:szCs w:val="24"/>
        </w:rPr>
      </w:pPr>
    </w:p>
    <w:p w14:paraId="341297E3">
      <w:pPr>
        <w:pStyle w:val="3"/>
        <w:ind w:firstLine="241"/>
        <w:rPr>
          <w:rFonts w:ascii="宋体" w:hAnsi="宋体" w:eastAsia="宋体" w:cs="宋体"/>
          <w:b/>
          <w:color w:val="auto"/>
          <w:sz w:val="24"/>
          <w:szCs w:val="24"/>
        </w:rPr>
      </w:pPr>
    </w:p>
    <w:p w14:paraId="6E355840">
      <w:pPr>
        <w:pStyle w:val="3"/>
        <w:ind w:firstLine="241"/>
        <w:rPr>
          <w:rFonts w:ascii="宋体" w:hAnsi="宋体" w:eastAsia="宋体" w:cs="宋体"/>
          <w:b/>
          <w:color w:val="auto"/>
          <w:sz w:val="24"/>
          <w:szCs w:val="24"/>
        </w:rPr>
      </w:pPr>
    </w:p>
    <w:p w14:paraId="61608587">
      <w:pPr>
        <w:pStyle w:val="3"/>
        <w:ind w:firstLine="241"/>
        <w:rPr>
          <w:rFonts w:ascii="宋体" w:hAnsi="宋体" w:eastAsia="宋体" w:cs="宋体"/>
          <w:b/>
          <w:color w:val="auto"/>
          <w:sz w:val="24"/>
          <w:szCs w:val="24"/>
        </w:rPr>
      </w:pPr>
    </w:p>
    <w:p w14:paraId="371CC680">
      <w:pPr>
        <w:pStyle w:val="3"/>
        <w:ind w:firstLine="241"/>
        <w:rPr>
          <w:rFonts w:ascii="宋体" w:hAnsi="宋体" w:eastAsia="宋体" w:cs="宋体"/>
          <w:b/>
          <w:color w:val="auto"/>
          <w:sz w:val="24"/>
          <w:szCs w:val="24"/>
        </w:rPr>
      </w:pPr>
    </w:p>
    <w:p w14:paraId="7A422CB4">
      <w:pPr>
        <w:pStyle w:val="3"/>
        <w:ind w:firstLine="241"/>
        <w:rPr>
          <w:rFonts w:ascii="宋体" w:hAnsi="宋体" w:eastAsia="宋体" w:cs="宋体"/>
          <w:b/>
          <w:color w:val="auto"/>
          <w:sz w:val="24"/>
          <w:szCs w:val="24"/>
        </w:rPr>
      </w:pPr>
    </w:p>
    <w:p w14:paraId="13712077">
      <w:pPr>
        <w:pStyle w:val="3"/>
        <w:ind w:firstLine="241"/>
        <w:rPr>
          <w:rFonts w:ascii="宋体" w:hAnsi="宋体" w:eastAsia="宋体" w:cs="宋体"/>
          <w:b/>
          <w:color w:val="auto"/>
          <w:sz w:val="24"/>
          <w:szCs w:val="24"/>
        </w:rPr>
      </w:pPr>
    </w:p>
    <w:p w14:paraId="7DDE1714">
      <w:pPr>
        <w:pStyle w:val="3"/>
        <w:ind w:firstLine="241"/>
        <w:rPr>
          <w:rFonts w:ascii="宋体" w:hAnsi="宋体" w:eastAsia="宋体" w:cs="宋体"/>
          <w:b/>
          <w:color w:val="auto"/>
          <w:sz w:val="24"/>
          <w:szCs w:val="24"/>
        </w:rPr>
      </w:pPr>
    </w:p>
    <w:p w14:paraId="4051A2B7">
      <w:pPr>
        <w:pStyle w:val="3"/>
        <w:ind w:firstLine="241"/>
        <w:rPr>
          <w:rFonts w:ascii="宋体" w:hAnsi="宋体" w:eastAsia="宋体" w:cs="宋体"/>
          <w:b/>
          <w:color w:val="auto"/>
          <w:sz w:val="24"/>
          <w:szCs w:val="24"/>
        </w:rPr>
      </w:pPr>
    </w:p>
    <w:p w14:paraId="21DBFDA5">
      <w:pPr>
        <w:pStyle w:val="3"/>
        <w:ind w:firstLine="241"/>
        <w:rPr>
          <w:rFonts w:ascii="宋体" w:hAnsi="宋体" w:eastAsia="宋体" w:cs="宋体"/>
          <w:b/>
          <w:color w:val="auto"/>
          <w:sz w:val="24"/>
          <w:szCs w:val="24"/>
        </w:rPr>
      </w:pPr>
    </w:p>
    <w:p w14:paraId="295DBF4C">
      <w:pPr>
        <w:pStyle w:val="3"/>
        <w:ind w:firstLine="241"/>
        <w:rPr>
          <w:rFonts w:ascii="宋体" w:hAnsi="宋体" w:eastAsia="宋体" w:cs="宋体"/>
          <w:b/>
          <w:color w:val="auto"/>
          <w:sz w:val="24"/>
          <w:szCs w:val="24"/>
        </w:rPr>
      </w:pPr>
    </w:p>
    <w:p w14:paraId="33227215">
      <w:pPr>
        <w:pStyle w:val="3"/>
        <w:ind w:firstLine="241"/>
        <w:rPr>
          <w:rFonts w:ascii="宋体" w:hAnsi="宋体" w:eastAsia="宋体" w:cs="宋体"/>
          <w:b/>
          <w:color w:val="auto"/>
          <w:sz w:val="24"/>
          <w:szCs w:val="24"/>
        </w:rPr>
      </w:pPr>
    </w:p>
    <w:p w14:paraId="7BDF3335">
      <w:pPr>
        <w:pStyle w:val="3"/>
        <w:ind w:firstLine="241"/>
        <w:rPr>
          <w:rFonts w:ascii="宋体" w:hAnsi="宋体" w:eastAsia="宋体" w:cs="宋体"/>
          <w:b/>
          <w:color w:val="auto"/>
          <w:sz w:val="24"/>
          <w:szCs w:val="24"/>
        </w:rPr>
      </w:pPr>
    </w:p>
    <w:p w14:paraId="3D301EA5">
      <w:pPr>
        <w:pStyle w:val="3"/>
        <w:ind w:firstLine="241"/>
        <w:rPr>
          <w:rFonts w:ascii="宋体" w:hAnsi="宋体" w:eastAsia="宋体" w:cs="宋体"/>
          <w:b/>
          <w:color w:val="auto"/>
          <w:sz w:val="24"/>
          <w:szCs w:val="24"/>
        </w:rPr>
      </w:pPr>
    </w:p>
    <w:p w14:paraId="67E9E4ED">
      <w:pPr>
        <w:pStyle w:val="3"/>
        <w:ind w:firstLine="241"/>
        <w:rPr>
          <w:rFonts w:ascii="宋体" w:hAnsi="宋体" w:eastAsia="宋体" w:cs="宋体"/>
          <w:b/>
          <w:color w:val="auto"/>
          <w:sz w:val="24"/>
          <w:szCs w:val="24"/>
        </w:rPr>
      </w:pPr>
    </w:p>
    <w:p w14:paraId="538598ED">
      <w:pPr>
        <w:pStyle w:val="3"/>
        <w:ind w:firstLine="241"/>
        <w:rPr>
          <w:rFonts w:ascii="宋体" w:hAnsi="宋体" w:eastAsia="宋体" w:cs="宋体"/>
          <w:b/>
          <w:color w:val="auto"/>
          <w:sz w:val="24"/>
          <w:szCs w:val="24"/>
        </w:rPr>
      </w:pPr>
    </w:p>
    <w:p w14:paraId="4AD1030D">
      <w:pPr>
        <w:pStyle w:val="3"/>
        <w:ind w:firstLine="241"/>
        <w:rPr>
          <w:rFonts w:ascii="宋体" w:hAnsi="宋体" w:eastAsia="宋体" w:cs="宋体"/>
          <w:b/>
          <w:color w:val="auto"/>
          <w:sz w:val="24"/>
          <w:szCs w:val="24"/>
        </w:rPr>
      </w:pPr>
    </w:p>
    <w:p w14:paraId="71EBC632">
      <w:pPr>
        <w:pStyle w:val="3"/>
        <w:ind w:firstLine="241"/>
        <w:rPr>
          <w:rFonts w:ascii="宋体" w:hAnsi="宋体" w:eastAsia="宋体" w:cs="宋体"/>
          <w:b/>
          <w:color w:val="auto"/>
          <w:sz w:val="24"/>
          <w:szCs w:val="24"/>
        </w:rPr>
      </w:pPr>
    </w:p>
    <w:p w14:paraId="4F035029">
      <w:pPr>
        <w:rPr>
          <w:rFonts w:ascii="宋体" w:hAnsi="宋体" w:eastAsia="宋体" w:cs="宋体"/>
          <w:b/>
          <w:color w:val="auto"/>
          <w:sz w:val="24"/>
          <w:lang w:val="zh-CN"/>
        </w:rPr>
      </w:pPr>
      <w:r>
        <w:rPr>
          <w:rFonts w:hint="eastAsia" w:ascii="宋体" w:hAnsi="宋体" w:eastAsia="宋体" w:cs="宋体"/>
          <w:b/>
          <w:color w:val="auto"/>
          <w:sz w:val="24"/>
        </w:rPr>
        <w:t>附件</w:t>
      </w:r>
      <w:r>
        <w:rPr>
          <w:rFonts w:hint="eastAsia" w:ascii="宋体" w:hAnsi="宋体" w:eastAsia="宋体" w:cs="宋体"/>
          <w:b/>
          <w:color w:val="auto"/>
          <w:sz w:val="24"/>
          <w:lang w:eastAsia="zh-CN"/>
        </w:rPr>
        <w:t>九</w:t>
      </w:r>
      <w:r>
        <w:rPr>
          <w:rFonts w:hint="eastAsia" w:ascii="宋体" w:hAnsi="宋体" w:eastAsia="宋体" w:cs="宋体"/>
          <w:b/>
          <w:color w:val="auto"/>
          <w:sz w:val="24"/>
        </w:rPr>
        <w:t>：</w:t>
      </w:r>
    </w:p>
    <w:p w14:paraId="1EEE09A5">
      <w:pPr>
        <w:snapToGrid w:val="0"/>
        <w:spacing w:before="50" w:after="50"/>
        <w:jc w:val="center"/>
        <w:rPr>
          <w:rFonts w:ascii="宋体" w:hAnsi="宋体" w:eastAsia="宋体" w:cs="宋体"/>
          <w:b/>
          <w:color w:val="auto"/>
          <w:sz w:val="24"/>
        </w:rPr>
      </w:pPr>
    </w:p>
    <w:p w14:paraId="357BBA5B">
      <w:pPr>
        <w:snapToGrid w:val="0"/>
        <w:spacing w:before="50" w:after="50"/>
        <w:jc w:val="center"/>
        <w:rPr>
          <w:rFonts w:ascii="宋体" w:hAnsi="宋体" w:eastAsia="宋体" w:cs="宋体"/>
          <w:b/>
          <w:color w:val="auto"/>
          <w:sz w:val="24"/>
        </w:rPr>
      </w:pPr>
      <w:r>
        <w:rPr>
          <w:rFonts w:hint="eastAsia" w:ascii="宋体" w:hAnsi="宋体" w:eastAsia="宋体" w:cs="宋体"/>
          <w:b/>
          <w:color w:val="auto"/>
          <w:sz w:val="24"/>
        </w:rPr>
        <w:t>磋商报价一览表</w:t>
      </w:r>
      <w:r>
        <w:rPr>
          <w:rFonts w:hint="eastAsia" w:ascii="宋体" w:hAnsi="宋体" w:eastAsia="宋体" w:cs="宋体"/>
          <w:b/>
          <w:bCs/>
          <w:color w:val="auto"/>
          <w:sz w:val="24"/>
        </w:rPr>
        <w:t>（首次报价）</w:t>
      </w:r>
    </w:p>
    <w:p w14:paraId="72980BC5">
      <w:pPr>
        <w:snapToGrid w:val="0"/>
        <w:spacing w:before="50" w:after="50" w:line="360" w:lineRule="auto"/>
        <w:ind w:right="-1058" w:rightChars="-294"/>
        <w:jc w:val="left"/>
        <w:rPr>
          <w:rFonts w:ascii="宋体" w:hAnsi="宋体" w:eastAsia="宋体" w:cs="宋体"/>
          <w:color w:val="auto"/>
          <w:sz w:val="24"/>
        </w:rPr>
      </w:pPr>
    </w:p>
    <w:p w14:paraId="518ADD04">
      <w:pPr>
        <w:snapToGrid w:val="0"/>
        <w:spacing w:before="50" w:after="50" w:line="360" w:lineRule="auto"/>
        <w:ind w:right="-1058" w:rightChars="-294"/>
        <w:jc w:val="left"/>
        <w:rPr>
          <w:rFonts w:hint="eastAsia" w:ascii="宋体" w:hAnsi="宋体" w:eastAsia="宋体" w:cs="宋体"/>
          <w:color w:val="auto"/>
          <w:sz w:val="24"/>
          <w:lang w:eastAsia="zh-CN"/>
        </w:rPr>
      </w:pPr>
      <w:r>
        <w:rPr>
          <w:rFonts w:hint="eastAsia" w:ascii="宋体" w:hAnsi="宋体" w:eastAsia="宋体" w:cs="宋体"/>
          <w:color w:val="auto"/>
          <w:sz w:val="24"/>
        </w:rPr>
        <w:t>项目名称：</w:t>
      </w:r>
      <w:r>
        <w:rPr>
          <w:rFonts w:hint="eastAsia" w:ascii="宋体" w:hAnsi="宋体" w:eastAsia="宋体" w:cs="宋体"/>
          <w:color w:val="auto"/>
          <w:sz w:val="24"/>
          <w:lang w:eastAsia="zh-CN"/>
        </w:rPr>
        <w:t>北城办事处改造工程</w:t>
      </w:r>
    </w:p>
    <w:p w14:paraId="2DC45958">
      <w:pPr>
        <w:pStyle w:val="37"/>
        <w:rPr>
          <w:rFonts w:hint="eastAsia" w:ascii="宋体" w:hAnsi="宋体" w:eastAsia="宋体" w:cs="宋体"/>
          <w:b/>
          <w:bCs/>
          <w:color w:val="auto"/>
          <w:sz w:val="24"/>
          <w:lang w:val="en-US" w:eastAsia="zh-CN"/>
        </w:rPr>
      </w:pPr>
      <w:r>
        <w:rPr>
          <w:rFonts w:hint="eastAsia" w:ascii="宋体" w:hAnsi="宋体" w:eastAsia="宋体" w:cs="宋体"/>
          <w:color w:val="auto"/>
          <w:sz w:val="24"/>
          <w:lang w:val="en-US"/>
        </w:rPr>
        <w:t>项目编号：</w:t>
      </w:r>
      <w:r>
        <w:rPr>
          <w:rFonts w:hint="eastAsia" w:ascii="宋体" w:hAnsi="宋体" w:eastAsia="宋体" w:cs="宋体"/>
          <w:color w:val="auto"/>
          <w:sz w:val="24"/>
          <w:lang w:val="en-US" w:eastAsia="zh-CN"/>
        </w:rPr>
        <w:t>BCJD[2025]0901号</w:t>
      </w:r>
    </w:p>
    <w:tbl>
      <w:tblPr>
        <w:tblStyle w:val="26"/>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4750"/>
      </w:tblGrid>
      <w:tr w14:paraId="3B74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095" w:type="dxa"/>
            <w:vMerge w:val="restart"/>
            <w:noWrap/>
            <w:vAlign w:val="center"/>
          </w:tcPr>
          <w:p w14:paraId="7C26BE7E">
            <w:pPr>
              <w:snapToGrid w:val="0"/>
              <w:spacing w:before="50" w:after="50" w:line="360" w:lineRule="auto"/>
              <w:ind w:right="-1058" w:rightChars="-294"/>
              <w:jc w:val="left"/>
              <w:rPr>
                <w:rFonts w:ascii="宋体" w:hAnsi="宋体" w:eastAsia="宋体"/>
                <w:b/>
                <w:bCs/>
                <w:color w:val="auto"/>
                <w:sz w:val="21"/>
                <w:szCs w:val="21"/>
              </w:rPr>
            </w:pPr>
            <w:r>
              <w:rPr>
                <w:rFonts w:hint="eastAsia" w:ascii="宋体" w:hAnsi="宋体"/>
                <w:b/>
                <w:bCs/>
                <w:color w:val="auto"/>
                <w:sz w:val="24"/>
              </w:rPr>
              <w:t>磋商总报价</w:t>
            </w:r>
          </w:p>
        </w:tc>
        <w:tc>
          <w:tcPr>
            <w:tcW w:w="4750" w:type="dxa"/>
            <w:noWrap/>
            <w:vAlign w:val="center"/>
          </w:tcPr>
          <w:p w14:paraId="7503AFB8">
            <w:pPr>
              <w:snapToGrid w:val="0"/>
              <w:spacing w:before="50" w:after="50" w:line="360" w:lineRule="auto"/>
              <w:ind w:right="-1058" w:rightChars="-294"/>
              <w:jc w:val="left"/>
              <w:rPr>
                <w:rFonts w:hint="eastAsia" w:ascii="宋体" w:hAnsi="宋体" w:eastAsia="宋体"/>
                <w:b/>
                <w:bCs/>
                <w:color w:val="auto"/>
                <w:sz w:val="24"/>
                <w:lang w:eastAsia="zh-CN"/>
              </w:rPr>
            </w:pPr>
            <w:r>
              <w:rPr>
                <w:rFonts w:hint="eastAsia" w:ascii="宋体" w:hAnsi="宋体"/>
                <w:b/>
                <w:bCs/>
                <w:color w:val="auto"/>
                <w:sz w:val="21"/>
                <w:szCs w:val="21"/>
              </w:rPr>
              <w:t>大写：</w:t>
            </w:r>
            <w:r>
              <w:rPr>
                <w:rFonts w:hint="eastAsia" w:ascii="宋体" w:hAnsi="宋体" w:eastAsia="宋体" w:cs="宋体"/>
                <w:b/>
                <w:bCs/>
                <w:color w:val="auto"/>
                <w:sz w:val="21"/>
                <w:szCs w:val="21"/>
                <w:lang w:eastAsia="zh-CN"/>
              </w:rPr>
              <w:t>人民币</w:t>
            </w:r>
          </w:p>
        </w:tc>
      </w:tr>
      <w:tr w14:paraId="703F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095" w:type="dxa"/>
            <w:vMerge w:val="continue"/>
            <w:noWrap/>
            <w:vAlign w:val="center"/>
          </w:tcPr>
          <w:p w14:paraId="3C8CE7DB">
            <w:pPr>
              <w:snapToGrid w:val="0"/>
              <w:spacing w:before="50" w:after="50" w:line="360" w:lineRule="auto"/>
              <w:ind w:right="-1058" w:rightChars="-294"/>
              <w:jc w:val="left"/>
              <w:rPr>
                <w:rFonts w:ascii="宋体" w:hAnsi="宋体" w:eastAsia="宋体"/>
                <w:b/>
                <w:bCs/>
                <w:color w:val="auto"/>
                <w:sz w:val="21"/>
                <w:szCs w:val="21"/>
              </w:rPr>
            </w:pPr>
          </w:p>
        </w:tc>
        <w:tc>
          <w:tcPr>
            <w:tcW w:w="4750" w:type="dxa"/>
            <w:noWrap/>
            <w:vAlign w:val="center"/>
          </w:tcPr>
          <w:p w14:paraId="33EF75B5">
            <w:pPr>
              <w:snapToGrid w:val="0"/>
              <w:spacing w:before="50" w:after="50" w:line="360" w:lineRule="auto"/>
              <w:ind w:right="-1058" w:rightChars="-294"/>
              <w:jc w:val="left"/>
              <w:rPr>
                <w:rFonts w:ascii="宋体" w:hAnsi="宋体"/>
                <w:b/>
                <w:bCs/>
                <w:color w:val="auto"/>
                <w:sz w:val="24"/>
              </w:rPr>
            </w:pPr>
            <w:r>
              <w:rPr>
                <w:rFonts w:hint="eastAsia" w:ascii="宋体" w:hAnsi="宋体"/>
                <w:b/>
                <w:bCs/>
                <w:color w:val="auto"/>
                <w:sz w:val="21"/>
                <w:szCs w:val="21"/>
              </w:rPr>
              <w:t>小写</w:t>
            </w:r>
            <w:r>
              <w:rPr>
                <w:rFonts w:hint="eastAsia" w:ascii="宋体" w:hAnsi="宋体" w:eastAsia="宋体" w:cs="宋体"/>
                <w:b/>
                <w:bCs/>
                <w:color w:val="auto"/>
                <w:sz w:val="21"/>
                <w:szCs w:val="21"/>
              </w:rPr>
              <w:t>：¥：</w:t>
            </w:r>
          </w:p>
        </w:tc>
      </w:tr>
    </w:tbl>
    <w:p w14:paraId="21C2CFC7">
      <w:pPr>
        <w:snapToGrid w:val="0"/>
        <w:spacing w:before="50" w:after="50" w:line="360" w:lineRule="auto"/>
        <w:jc w:val="left"/>
        <w:rPr>
          <w:rFonts w:ascii="宋体" w:hAnsi="宋体" w:eastAsia="宋体" w:cs="宋体"/>
          <w:b/>
          <w:color w:val="auto"/>
          <w:sz w:val="24"/>
        </w:rPr>
      </w:pPr>
    </w:p>
    <w:p w14:paraId="3259C530">
      <w:pPr>
        <w:snapToGrid w:val="0"/>
        <w:spacing w:before="50" w:after="50" w:line="360" w:lineRule="auto"/>
        <w:jc w:val="left"/>
        <w:rPr>
          <w:rFonts w:ascii="宋体" w:hAnsi="宋体" w:eastAsia="宋体" w:cs="宋体"/>
          <w:color w:val="auto"/>
          <w:sz w:val="21"/>
          <w:szCs w:val="21"/>
        </w:rPr>
      </w:pPr>
      <w:r>
        <w:rPr>
          <w:rFonts w:hint="eastAsia" w:ascii="宋体" w:hAnsi="宋体" w:eastAsia="宋体" w:cs="宋体"/>
          <w:b/>
          <w:color w:val="auto"/>
          <w:sz w:val="21"/>
          <w:szCs w:val="21"/>
        </w:rPr>
        <w:t>注:</w:t>
      </w:r>
      <w:r>
        <w:rPr>
          <w:rFonts w:hint="eastAsia" w:ascii="宋体" w:hAnsi="宋体" w:eastAsia="宋体" w:cs="宋体"/>
          <w:color w:val="auto"/>
          <w:sz w:val="21"/>
          <w:szCs w:val="21"/>
        </w:rPr>
        <w:t>1、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464FE343">
      <w:pPr>
        <w:snapToGrid w:val="0"/>
        <w:spacing w:before="50" w:after="50" w:line="360" w:lineRule="auto"/>
        <w:jc w:val="left"/>
        <w:rPr>
          <w:rFonts w:ascii="宋体" w:hAnsi="宋体" w:eastAsia="宋体" w:cs="宋体"/>
          <w:color w:val="auto"/>
          <w:sz w:val="21"/>
          <w:szCs w:val="21"/>
        </w:rPr>
      </w:pPr>
    </w:p>
    <w:p w14:paraId="49F90085">
      <w:pPr>
        <w:snapToGrid w:val="0"/>
        <w:spacing w:before="50" w:after="50"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2、报价一经涂改，应在涂改处加盖单位公章，或者由法定代表人或全权代表签字或盖章，否则其磋商无效。</w:t>
      </w:r>
    </w:p>
    <w:p w14:paraId="7F012080">
      <w:pPr>
        <w:snapToGrid w:val="0"/>
        <w:spacing w:before="50" w:after="50"/>
        <w:ind w:right="-1400" w:rightChars="-389"/>
        <w:rPr>
          <w:rFonts w:ascii="宋体" w:hAnsi="宋体" w:eastAsia="宋体" w:cs="宋体"/>
          <w:color w:val="auto"/>
          <w:sz w:val="24"/>
        </w:rPr>
      </w:pPr>
    </w:p>
    <w:p w14:paraId="7707E048">
      <w:pPr>
        <w:snapToGrid w:val="0"/>
        <w:spacing w:before="50" w:after="50"/>
        <w:ind w:right="-1400" w:rightChars="-389"/>
        <w:rPr>
          <w:rFonts w:ascii="宋体" w:hAnsi="宋体" w:eastAsia="宋体" w:cs="宋体"/>
          <w:color w:val="auto"/>
          <w:sz w:val="24"/>
        </w:rPr>
      </w:pPr>
    </w:p>
    <w:p w14:paraId="26E033EA">
      <w:pPr>
        <w:snapToGrid w:val="0"/>
        <w:spacing w:before="50" w:after="50"/>
        <w:ind w:left="-111" w:leftChars="-72" w:right="-1400" w:rightChars="-389" w:hanging="148" w:hangingChars="62"/>
        <w:rPr>
          <w:rFonts w:ascii="宋体" w:hAnsi="宋体" w:eastAsia="宋体" w:cs="宋体"/>
          <w:color w:val="auto"/>
          <w:sz w:val="24"/>
        </w:rPr>
      </w:pPr>
    </w:p>
    <w:p w14:paraId="08213152">
      <w:pPr>
        <w:snapToGrid w:val="0"/>
        <w:spacing w:before="50" w:after="50"/>
        <w:ind w:left="-111" w:leftChars="-72" w:right="-1400" w:rightChars="-389" w:hanging="148" w:hangingChars="62"/>
        <w:rPr>
          <w:rFonts w:ascii="宋体" w:hAnsi="宋体" w:eastAsia="宋体" w:cs="宋体"/>
          <w:color w:val="auto"/>
          <w:sz w:val="24"/>
        </w:rPr>
      </w:pPr>
    </w:p>
    <w:p w14:paraId="42015824">
      <w:pPr>
        <w:spacing w:line="360" w:lineRule="auto"/>
        <w:ind w:firstLine="3780" w:firstLineChars="1800"/>
        <w:rPr>
          <w:rFonts w:ascii="宋体" w:hAnsi="宋体" w:eastAsia="宋体" w:cs="宋体"/>
          <w:color w:val="auto"/>
          <w:sz w:val="21"/>
          <w:szCs w:val="21"/>
        </w:rPr>
      </w:pPr>
      <w:r>
        <w:rPr>
          <w:rFonts w:hint="eastAsia" w:ascii="宋体" w:hAnsi="宋体" w:eastAsia="宋体" w:cs="宋体"/>
          <w:color w:val="auto"/>
          <w:sz w:val="21"/>
          <w:szCs w:val="21"/>
        </w:rPr>
        <w:t xml:space="preserve">               磋商供应商代表（签字或盖章）：</w:t>
      </w:r>
    </w:p>
    <w:p w14:paraId="107CAD35">
      <w:pPr>
        <w:pStyle w:val="3"/>
        <w:ind w:firstLine="210"/>
        <w:rPr>
          <w:color w:val="auto"/>
        </w:rPr>
      </w:pPr>
    </w:p>
    <w:p w14:paraId="5CBAFF72">
      <w:pPr>
        <w:spacing w:line="360" w:lineRule="auto"/>
        <w:ind w:firstLine="5460" w:firstLineChars="2600"/>
        <w:rPr>
          <w:rFonts w:ascii="宋体" w:hAnsi="宋体" w:eastAsia="宋体" w:cs="宋体"/>
          <w:color w:val="auto"/>
          <w:sz w:val="21"/>
          <w:szCs w:val="21"/>
          <w:lang w:val="zh-CN"/>
        </w:rPr>
      </w:pPr>
      <w:r>
        <w:rPr>
          <w:rFonts w:hint="eastAsia" w:ascii="宋体" w:hAnsi="宋体" w:eastAsia="宋体" w:cs="宋体"/>
          <w:color w:val="auto"/>
          <w:sz w:val="21"/>
          <w:szCs w:val="21"/>
        </w:rPr>
        <w:t>磋商供应商名称（盖章）</w:t>
      </w:r>
      <w:r>
        <w:rPr>
          <w:rFonts w:hint="eastAsia" w:ascii="宋体" w:hAnsi="宋体" w:eastAsia="宋体" w:cs="宋体"/>
          <w:color w:val="auto"/>
          <w:sz w:val="21"/>
          <w:szCs w:val="21"/>
          <w:lang w:val="zh-CN"/>
        </w:rPr>
        <w:t>：</w:t>
      </w:r>
    </w:p>
    <w:p w14:paraId="3488F31C">
      <w:pPr>
        <w:pStyle w:val="5"/>
        <w:spacing w:beforeLines="100" w:line="360" w:lineRule="auto"/>
        <w:rPr>
          <w:rFonts w:ascii="宋体" w:hAnsi="宋体" w:eastAsia="宋体"/>
          <w:bCs w:val="0"/>
          <w:color w:val="auto"/>
          <w:lang w:val="zh-CN"/>
        </w:rPr>
      </w:pPr>
      <w:r>
        <w:rPr>
          <w:rFonts w:hint="eastAsia" w:ascii="宋体" w:hAnsi="宋体" w:eastAsia="宋体" w:cs="宋体"/>
          <w:b w:val="0"/>
          <w:bCs w:val="0"/>
          <w:color w:val="auto"/>
          <w:sz w:val="21"/>
          <w:szCs w:val="21"/>
          <w:lang w:val="zh-CN"/>
        </w:rPr>
        <w:t xml:space="preserve">                                                     日 期：</w:t>
      </w:r>
    </w:p>
    <w:p w14:paraId="5BFEAE7E">
      <w:pPr>
        <w:snapToGrid w:val="0"/>
        <w:spacing w:beforeLines="50"/>
        <w:rPr>
          <w:rFonts w:ascii="宋体" w:hAnsi="宋体" w:eastAsia="宋体" w:cs="宋体"/>
          <w:color w:val="auto"/>
          <w:sz w:val="21"/>
          <w:szCs w:val="21"/>
        </w:rPr>
      </w:pPr>
    </w:p>
    <w:p w14:paraId="0FA04B74">
      <w:pPr>
        <w:snapToGrid w:val="0"/>
        <w:spacing w:before="50" w:after="50"/>
        <w:rPr>
          <w:rFonts w:ascii="宋体" w:hAnsi="宋体" w:eastAsia="宋体" w:cs="宋体"/>
          <w:b/>
          <w:color w:val="auto"/>
          <w:sz w:val="21"/>
          <w:szCs w:val="21"/>
        </w:rPr>
      </w:pPr>
    </w:p>
    <w:p w14:paraId="659D7DA0">
      <w:pPr>
        <w:snapToGrid w:val="0"/>
        <w:spacing w:before="50" w:after="50"/>
        <w:rPr>
          <w:rFonts w:ascii="宋体" w:hAnsi="宋体" w:eastAsia="宋体" w:cs="宋体"/>
          <w:b/>
          <w:color w:val="auto"/>
          <w:sz w:val="21"/>
          <w:szCs w:val="21"/>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592D5A82">
      <w:pPr>
        <w:spacing w:line="450" w:lineRule="atLeast"/>
        <w:rPr>
          <w:rFonts w:ascii="宋体" w:hAnsi="宋体" w:eastAsia="宋体" w:cs="宋体"/>
          <w:b/>
          <w:color w:val="auto"/>
          <w:sz w:val="24"/>
        </w:rPr>
      </w:pPr>
      <w:r>
        <w:rPr>
          <w:rFonts w:hint="eastAsia" w:ascii="宋体" w:hAnsi="宋体" w:eastAsia="宋体" w:cs="宋体"/>
          <w:b/>
          <w:color w:val="auto"/>
          <w:sz w:val="24"/>
        </w:rPr>
        <w:t>附件十：</w:t>
      </w:r>
      <w:r>
        <w:rPr>
          <w:rFonts w:hint="eastAsia"/>
          <w:b/>
          <w:color w:val="auto"/>
          <w:sz w:val="24"/>
        </w:rPr>
        <w:t>投标报价明细表及附录</w:t>
      </w:r>
      <w:r>
        <w:rPr>
          <w:b/>
          <w:color w:val="auto"/>
          <w:sz w:val="24"/>
        </w:rPr>
        <w:t>格式</w:t>
      </w:r>
    </w:p>
    <w:p w14:paraId="5ED55E32">
      <w:pPr>
        <w:pStyle w:val="3"/>
        <w:ind w:firstLine="210"/>
        <w:rPr>
          <w:color w:val="auto"/>
        </w:rPr>
      </w:pPr>
    </w:p>
    <w:p w14:paraId="3DD43FCE">
      <w:pPr>
        <w:pStyle w:val="3"/>
        <w:ind w:firstLine="241"/>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投标报价计算表（汇总）</w:t>
      </w:r>
    </w:p>
    <w:p w14:paraId="06A7069A">
      <w:pPr>
        <w:pStyle w:val="3"/>
        <w:ind w:firstLine="210"/>
        <w:rPr>
          <w:rFonts w:ascii="宋体" w:hAnsi="宋体" w:eastAsia="宋体" w:cs="宋体"/>
          <w:color w:val="auto"/>
        </w:rPr>
      </w:pPr>
    </w:p>
    <w:p w14:paraId="00EF8CBE">
      <w:pPr>
        <w:pStyle w:val="3"/>
        <w:ind w:firstLine="210"/>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北城办事处改造工程</w:t>
      </w:r>
    </w:p>
    <w:p w14:paraId="021BF2B7">
      <w:pPr>
        <w:pStyle w:val="3"/>
        <w:ind w:firstLine="210"/>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eastAsia="宋体" w:cs="宋体"/>
          <w:color w:val="auto"/>
          <w:szCs w:val="21"/>
          <w:lang w:eastAsia="zh-CN"/>
        </w:rPr>
        <w:t>BCJD[2025]0901号</w:t>
      </w:r>
    </w:p>
    <w:p w14:paraId="2C60D903">
      <w:pPr>
        <w:pStyle w:val="3"/>
        <w:ind w:firstLine="210"/>
        <w:jc w:val="right"/>
        <w:rPr>
          <w:rFonts w:ascii="宋体" w:hAnsi="宋体" w:eastAsia="宋体" w:cs="宋体"/>
          <w:color w:val="auto"/>
        </w:rPr>
      </w:pPr>
      <w:r>
        <w:rPr>
          <w:rFonts w:hint="eastAsia" w:ascii="宋体" w:hAnsi="宋体" w:eastAsia="宋体" w:cs="宋体"/>
          <w:color w:val="auto"/>
        </w:rPr>
        <w:t xml:space="preserve">                   金额单位：人民币（元）</w:t>
      </w:r>
    </w:p>
    <w:tbl>
      <w:tblPr>
        <w:tblStyle w:val="26"/>
        <w:tblW w:w="8424" w:type="dxa"/>
        <w:jc w:val="center"/>
        <w:tblLayout w:type="fixed"/>
        <w:tblCellMar>
          <w:top w:w="0" w:type="dxa"/>
          <w:left w:w="108" w:type="dxa"/>
          <w:bottom w:w="0" w:type="dxa"/>
          <w:right w:w="108" w:type="dxa"/>
        </w:tblCellMar>
      </w:tblPr>
      <w:tblGrid>
        <w:gridCol w:w="828"/>
        <w:gridCol w:w="5400"/>
        <w:gridCol w:w="2196"/>
      </w:tblGrid>
      <w:tr w14:paraId="1DAAC082">
        <w:tblPrEx>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90CDB88">
            <w:pPr>
              <w:pStyle w:val="3"/>
              <w:ind w:firstLine="0" w:firstLineChars="0"/>
              <w:jc w:val="center"/>
              <w:rPr>
                <w:rFonts w:ascii="宋体" w:hAnsi="宋体" w:eastAsia="宋体" w:cs="宋体"/>
                <w:b/>
                <w:bCs/>
                <w:color w:val="auto"/>
              </w:rPr>
            </w:pPr>
            <w:r>
              <w:rPr>
                <w:rFonts w:hint="eastAsia" w:ascii="宋体" w:hAnsi="宋体" w:eastAsia="宋体" w:cs="宋体"/>
                <w:b/>
                <w:bCs/>
                <w:color w:val="auto"/>
              </w:rPr>
              <w:t>序号</w:t>
            </w:r>
          </w:p>
        </w:tc>
        <w:tc>
          <w:tcPr>
            <w:tcW w:w="5400" w:type="dxa"/>
            <w:tcBorders>
              <w:top w:val="single" w:color="auto" w:sz="4" w:space="0"/>
              <w:left w:val="nil"/>
              <w:bottom w:val="single" w:color="auto" w:sz="4" w:space="0"/>
              <w:right w:val="single" w:color="auto" w:sz="4" w:space="0"/>
            </w:tcBorders>
            <w:noWrap/>
            <w:vAlign w:val="center"/>
          </w:tcPr>
          <w:p w14:paraId="6BCDEFF8">
            <w:pPr>
              <w:pStyle w:val="3"/>
              <w:ind w:firstLine="211"/>
              <w:jc w:val="center"/>
              <w:rPr>
                <w:rFonts w:ascii="宋体" w:hAnsi="宋体" w:eastAsia="宋体" w:cs="宋体"/>
                <w:b/>
                <w:bCs/>
                <w:color w:val="auto"/>
              </w:rPr>
            </w:pPr>
            <w:r>
              <w:rPr>
                <w:rFonts w:hint="eastAsia" w:ascii="宋体" w:hAnsi="宋体" w:eastAsia="宋体" w:cs="宋体"/>
                <w:b/>
                <w:bCs/>
                <w:color w:val="auto"/>
              </w:rPr>
              <w:t>项目名称</w:t>
            </w:r>
          </w:p>
        </w:tc>
        <w:tc>
          <w:tcPr>
            <w:tcW w:w="2196" w:type="dxa"/>
            <w:tcBorders>
              <w:top w:val="single" w:color="auto" w:sz="4" w:space="0"/>
              <w:left w:val="nil"/>
              <w:bottom w:val="single" w:color="auto" w:sz="4" w:space="0"/>
              <w:right w:val="single" w:color="auto" w:sz="4" w:space="0"/>
            </w:tcBorders>
            <w:noWrap/>
            <w:vAlign w:val="center"/>
          </w:tcPr>
          <w:p w14:paraId="628A1D31">
            <w:pPr>
              <w:pStyle w:val="3"/>
              <w:ind w:firstLine="211"/>
              <w:jc w:val="center"/>
              <w:rPr>
                <w:rFonts w:ascii="宋体" w:hAnsi="宋体" w:eastAsia="宋体" w:cs="宋体"/>
                <w:b/>
                <w:bCs/>
                <w:color w:val="auto"/>
              </w:rPr>
            </w:pPr>
            <w:r>
              <w:rPr>
                <w:rFonts w:hint="eastAsia" w:ascii="宋体" w:hAnsi="宋体" w:eastAsia="宋体" w:cs="宋体"/>
                <w:b/>
                <w:bCs/>
                <w:color w:val="auto"/>
              </w:rPr>
              <w:t>金额（元）</w:t>
            </w:r>
          </w:p>
        </w:tc>
      </w:tr>
      <w:tr w14:paraId="1F6A5DA0">
        <w:tblPrEx>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915BFEA">
            <w:pPr>
              <w:pStyle w:val="3"/>
              <w:ind w:left="0" w:leftChars="0" w:firstLine="0" w:firstLineChars="0"/>
              <w:jc w:val="center"/>
              <w:rPr>
                <w:rFonts w:ascii="宋体" w:hAnsi="宋体" w:eastAsia="宋体" w:cs="宋体"/>
                <w:b/>
                <w:bCs/>
                <w:color w:val="auto"/>
              </w:rPr>
            </w:pPr>
            <w:r>
              <w:rPr>
                <w:rFonts w:hint="eastAsia" w:ascii="宋体" w:hAnsi="宋体" w:eastAsia="宋体" w:cs="宋体"/>
                <w:b/>
                <w:bCs/>
                <w:color w:val="auto"/>
              </w:rPr>
              <w:t>1</w:t>
            </w:r>
          </w:p>
        </w:tc>
        <w:tc>
          <w:tcPr>
            <w:tcW w:w="5400" w:type="dxa"/>
            <w:tcBorders>
              <w:top w:val="single" w:color="auto" w:sz="4" w:space="0"/>
              <w:left w:val="nil"/>
              <w:bottom w:val="single" w:color="auto" w:sz="4" w:space="0"/>
              <w:right w:val="single" w:color="auto" w:sz="4" w:space="0"/>
            </w:tcBorders>
            <w:noWrap/>
            <w:vAlign w:val="center"/>
          </w:tcPr>
          <w:p w14:paraId="4EB0BD08">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北城办事处改造工程-房屋建筑与装饰</w:t>
            </w:r>
          </w:p>
        </w:tc>
        <w:tc>
          <w:tcPr>
            <w:tcW w:w="2196" w:type="dxa"/>
            <w:tcBorders>
              <w:top w:val="single" w:color="auto" w:sz="4" w:space="0"/>
              <w:left w:val="nil"/>
              <w:bottom w:val="single" w:color="auto" w:sz="4" w:space="0"/>
              <w:right w:val="single" w:color="auto" w:sz="4" w:space="0"/>
            </w:tcBorders>
            <w:noWrap/>
            <w:vAlign w:val="center"/>
          </w:tcPr>
          <w:p w14:paraId="7B373EDC">
            <w:pPr>
              <w:keepNext w:val="0"/>
              <w:keepLines w:val="0"/>
              <w:widowControl/>
              <w:suppressLineNumbers w:val="0"/>
              <w:jc w:val="left"/>
              <w:textAlignment w:val="center"/>
              <w:rPr>
                <w:rFonts w:ascii="宋体" w:hAnsi="宋体" w:eastAsia="宋体" w:cs="宋体"/>
                <w:b/>
                <w:bCs/>
                <w:color w:val="auto"/>
              </w:rPr>
            </w:pPr>
          </w:p>
        </w:tc>
      </w:tr>
      <w:tr w14:paraId="413D5555">
        <w:tblPrEx>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631E94D">
            <w:pPr>
              <w:pStyle w:val="3"/>
              <w:ind w:left="0" w:leftChars="0" w:firstLine="0" w:firstLineChars="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w:t>
            </w:r>
          </w:p>
        </w:tc>
        <w:tc>
          <w:tcPr>
            <w:tcW w:w="5400" w:type="dxa"/>
            <w:tcBorders>
              <w:top w:val="single" w:color="auto" w:sz="4" w:space="0"/>
              <w:left w:val="nil"/>
              <w:bottom w:val="single" w:color="auto" w:sz="4" w:space="0"/>
              <w:right w:val="single" w:color="auto" w:sz="4" w:space="0"/>
            </w:tcBorders>
            <w:noWrap/>
            <w:vAlign w:val="center"/>
          </w:tcPr>
          <w:p w14:paraId="78C2B4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北城办事处改造工程-通用安装工程</w:t>
            </w:r>
          </w:p>
        </w:tc>
        <w:tc>
          <w:tcPr>
            <w:tcW w:w="2196" w:type="dxa"/>
            <w:tcBorders>
              <w:top w:val="single" w:color="auto" w:sz="4" w:space="0"/>
              <w:left w:val="nil"/>
              <w:bottom w:val="single" w:color="auto" w:sz="4" w:space="0"/>
              <w:right w:val="single" w:color="auto" w:sz="4" w:space="0"/>
            </w:tcBorders>
            <w:noWrap/>
            <w:vAlign w:val="center"/>
          </w:tcPr>
          <w:p w14:paraId="4EF3B1CF">
            <w:pPr>
              <w:keepNext w:val="0"/>
              <w:keepLines w:val="0"/>
              <w:widowControl/>
              <w:suppressLineNumbers w:val="0"/>
              <w:jc w:val="left"/>
              <w:textAlignment w:val="center"/>
              <w:rPr>
                <w:rFonts w:ascii="宋体" w:hAnsi="宋体" w:eastAsia="宋体" w:cs="宋体"/>
                <w:b/>
                <w:bCs/>
                <w:color w:val="auto"/>
              </w:rPr>
            </w:pPr>
          </w:p>
        </w:tc>
      </w:tr>
      <w:tr w14:paraId="4BC7A438">
        <w:tblPrEx>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15E91E1C">
            <w:pPr>
              <w:pStyle w:val="3"/>
              <w:ind w:firstLine="211"/>
              <w:jc w:val="both"/>
              <w:rPr>
                <w:rFonts w:hint="eastAsia" w:ascii="宋体" w:hAnsi="宋体" w:eastAsia="宋体" w:cs="宋体"/>
                <w:b/>
                <w:bCs/>
                <w:color w:val="auto"/>
                <w:lang w:val="en-US" w:eastAsia="zh-CN"/>
              </w:rPr>
            </w:pPr>
          </w:p>
        </w:tc>
        <w:tc>
          <w:tcPr>
            <w:tcW w:w="5400" w:type="dxa"/>
            <w:tcBorders>
              <w:top w:val="single" w:color="auto" w:sz="4" w:space="0"/>
              <w:left w:val="nil"/>
              <w:bottom w:val="single" w:color="auto" w:sz="4" w:space="0"/>
              <w:right w:val="single" w:color="auto" w:sz="4" w:space="0"/>
            </w:tcBorders>
            <w:noWrap/>
            <w:vAlign w:val="center"/>
          </w:tcPr>
          <w:p w14:paraId="01CE2E03">
            <w:pPr>
              <w:pStyle w:val="3"/>
              <w:ind w:firstLine="211"/>
              <w:jc w:val="center"/>
              <w:rPr>
                <w:rFonts w:ascii="宋体" w:hAnsi="宋体" w:eastAsia="宋体" w:cs="宋体"/>
                <w:b/>
                <w:bCs/>
                <w:color w:val="auto"/>
              </w:rPr>
            </w:pPr>
            <w:r>
              <w:rPr>
                <w:rFonts w:hint="eastAsia" w:ascii="宋体" w:hAnsi="宋体" w:eastAsia="宋体" w:cs="宋体"/>
                <w:b/>
                <w:bCs/>
                <w:color w:val="auto"/>
              </w:rPr>
              <w:t>投标总报价合计（结转至附件</w:t>
            </w:r>
            <w:r>
              <w:rPr>
                <w:rFonts w:hint="eastAsia" w:ascii="宋体" w:hAnsi="宋体" w:eastAsia="宋体" w:cs="宋体"/>
                <w:b/>
                <w:bCs/>
                <w:color w:val="auto"/>
                <w:lang w:eastAsia="zh-CN"/>
              </w:rPr>
              <w:t>九</w:t>
            </w:r>
            <w:r>
              <w:rPr>
                <w:rFonts w:hint="eastAsia" w:ascii="宋体" w:hAnsi="宋体" w:eastAsia="宋体" w:cs="宋体"/>
                <w:b/>
                <w:bCs/>
                <w:color w:val="auto"/>
              </w:rPr>
              <w:t>报价一览表）</w:t>
            </w:r>
          </w:p>
        </w:tc>
        <w:tc>
          <w:tcPr>
            <w:tcW w:w="2196" w:type="dxa"/>
            <w:tcBorders>
              <w:top w:val="single" w:color="auto" w:sz="4" w:space="0"/>
              <w:left w:val="nil"/>
              <w:bottom w:val="single" w:color="auto" w:sz="4" w:space="0"/>
              <w:right w:val="single" w:color="auto" w:sz="4" w:space="0"/>
            </w:tcBorders>
            <w:noWrap/>
            <w:vAlign w:val="center"/>
          </w:tcPr>
          <w:p w14:paraId="3B0D3921">
            <w:pPr>
              <w:pStyle w:val="3"/>
              <w:ind w:firstLine="211"/>
              <w:jc w:val="center"/>
              <w:rPr>
                <w:rFonts w:ascii="宋体" w:hAnsi="宋体" w:eastAsia="宋体" w:cs="宋体"/>
                <w:b/>
                <w:bCs/>
                <w:color w:val="auto"/>
              </w:rPr>
            </w:pPr>
          </w:p>
        </w:tc>
      </w:tr>
    </w:tbl>
    <w:p w14:paraId="12B2F9B8">
      <w:pPr>
        <w:pStyle w:val="3"/>
        <w:ind w:firstLine="210"/>
        <w:rPr>
          <w:rFonts w:ascii="宋体" w:hAnsi="宋体" w:eastAsia="宋体" w:cs="宋体"/>
          <w:color w:val="auto"/>
        </w:rPr>
      </w:pPr>
    </w:p>
    <w:p w14:paraId="650CA241">
      <w:pPr>
        <w:pStyle w:val="3"/>
        <w:ind w:firstLine="211"/>
        <w:rPr>
          <w:rFonts w:ascii="宋体" w:hAnsi="宋体" w:eastAsia="宋体" w:cs="宋体"/>
          <w:b/>
          <w:bCs/>
          <w:color w:val="auto"/>
        </w:rPr>
      </w:pPr>
      <w:r>
        <w:rPr>
          <w:rFonts w:hint="eastAsia" w:ascii="宋体" w:hAnsi="宋体" w:eastAsia="宋体" w:cs="宋体"/>
          <w:b/>
          <w:bCs/>
          <w:color w:val="auto"/>
        </w:rPr>
        <w:t>注：1、“投标报价明细表”中的投标总报价应与“磋商报价一览表（首次报价）”中的投标总报价相一致，不一致时，以“磋商报价一览表（首次报价）”为准。</w:t>
      </w:r>
    </w:p>
    <w:p w14:paraId="17EA59BD">
      <w:pPr>
        <w:pStyle w:val="3"/>
        <w:ind w:firstLine="632" w:firstLineChars="300"/>
        <w:rPr>
          <w:rFonts w:ascii="宋体" w:hAnsi="宋体" w:eastAsia="宋体" w:cs="宋体"/>
          <w:b/>
          <w:bCs/>
          <w:color w:val="auto"/>
        </w:rPr>
      </w:pPr>
      <w:r>
        <w:rPr>
          <w:rFonts w:hint="eastAsia" w:ascii="宋体" w:hAnsi="宋体" w:eastAsia="宋体" w:cs="宋体"/>
          <w:b/>
          <w:bCs/>
          <w:color w:val="auto"/>
        </w:rPr>
        <w:t>2、投标报价明细表所填内容应根据投标人实际情况填写。如有漏报的，视同已包含在投标总价内或已作优惠处理。有重大缺项的将作无效标处理。</w:t>
      </w:r>
    </w:p>
    <w:p w14:paraId="2DF1D1FE">
      <w:pPr>
        <w:pStyle w:val="3"/>
        <w:ind w:firstLine="210"/>
        <w:rPr>
          <w:rFonts w:ascii="宋体" w:hAnsi="宋体" w:eastAsia="宋体" w:cs="宋体"/>
          <w:color w:val="auto"/>
        </w:rPr>
      </w:pPr>
    </w:p>
    <w:p w14:paraId="15418B6D">
      <w:pPr>
        <w:snapToGrid w:val="0"/>
        <w:spacing w:before="50" w:after="50"/>
        <w:ind w:right="-1400" w:rightChars="-389" w:firstLine="5040" w:firstLineChars="2100"/>
        <w:rPr>
          <w:rFonts w:ascii="宋体" w:hAnsi="宋体" w:eastAsia="宋体" w:cs="宋体"/>
          <w:color w:val="auto"/>
        </w:rPr>
      </w:pPr>
      <w:r>
        <w:rPr>
          <w:rFonts w:hint="eastAsia" w:ascii="宋体" w:hAnsi="宋体" w:eastAsia="宋体" w:cs="宋体"/>
          <w:color w:val="auto"/>
          <w:sz w:val="24"/>
        </w:rPr>
        <w:t xml:space="preserve">   磋商供应商代表（签字或盖章）：</w:t>
      </w:r>
    </w:p>
    <w:p w14:paraId="610EB057">
      <w:pPr>
        <w:pStyle w:val="13"/>
        <w:spacing w:line="560" w:lineRule="exact"/>
        <w:ind w:firstLine="5760" w:firstLineChars="2400"/>
        <w:rPr>
          <w:rFonts w:hAnsi="宋体" w:eastAsia="宋体" w:cs="宋体"/>
          <w:color w:val="auto"/>
          <w:sz w:val="24"/>
          <w:szCs w:val="24"/>
          <w:lang w:val="zh-CN"/>
        </w:rPr>
      </w:pPr>
      <w:r>
        <w:rPr>
          <w:rFonts w:hint="eastAsia" w:hAnsi="宋体" w:eastAsia="宋体" w:cs="宋体"/>
          <w:color w:val="auto"/>
          <w:sz w:val="24"/>
          <w:szCs w:val="24"/>
        </w:rPr>
        <w:t>磋商人名称</w:t>
      </w:r>
      <w:r>
        <w:rPr>
          <w:rFonts w:hint="eastAsia" w:hAnsi="宋体" w:eastAsia="宋体" w:cs="宋体"/>
          <w:color w:val="auto"/>
          <w:sz w:val="24"/>
          <w:szCs w:val="24"/>
          <w:lang w:val="zh-CN"/>
        </w:rPr>
        <w:t>（盖单位章）：</w:t>
      </w:r>
    </w:p>
    <w:p w14:paraId="16123ADA">
      <w:pPr>
        <w:pStyle w:val="3"/>
        <w:ind w:firstLine="240"/>
        <w:rPr>
          <w:rFonts w:ascii="宋体" w:hAnsi="宋体" w:eastAsia="宋体" w:cs="宋体"/>
          <w:color w:val="auto"/>
          <w:sz w:val="24"/>
          <w:szCs w:val="24"/>
        </w:rPr>
      </w:pPr>
    </w:p>
    <w:p w14:paraId="693E03FF">
      <w:pPr>
        <w:pStyle w:val="3"/>
        <w:ind w:firstLine="6000" w:firstLineChars="2500"/>
        <w:rPr>
          <w:rFonts w:ascii="宋体" w:hAnsi="宋体" w:eastAsia="宋体" w:cs="宋体"/>
          <w:color w:val="auto"/>
          <w:sz w:val="24"/>
          <w:szCs w:val="24"/>
        </w:rPr>
      </w:pPr>
      <w:r>
        <w:rPr>
          <w:rFonts w:hint="eastAsia" w:ascii="宋体" w:hAnsi="宋体" w:eastAsia="宋体" w:cs="宋体"/>
          <w:color w:val="auto"/>
          <w:sz w:val="24"/>
          <w:szCs w:val="24"/>
        </w:rPr>
        <w:t xml:space="preserve">日期：  </w:t>
      </w:r>
    </w:p>
    <w:p w14:paraId="5BC7A16B">
      <w:pPr>
        <w:pStyle w:val="21"/>
        <w:rPr>
          <w:rFonts w:ascii="宋体" w:hAnsi="宋体" w:eastAsia="宋体" w:cs="宋体"/>
          <w:color w:val="auto"/>
          <w:sz w:val="24"/>
          <w:szCs w:val="24"/>
        </w:rPr>
      </w:pPr>
    </w:p>
    <w:p w14:paraId="26B17B9B">
      <w:pPr>
        <w:rPr>
          <w:rFonts w:ascii="宋体" w:hAnsi="宋体" w:eastAsia="宋体" w:cs="宋体"/>
          <w:color w:val="auto"/>
          <w:sz w:val="24"/>
        </w:rPr>
      </w:pPr>
    </w:p>
    <w:p w14:paraId="51089D89">
      <w:pPr>
        <w:pStyle w:val="3"/>
        <w:ind w:firstLine="240"/>
        <w:rPr>
          <w:rFonts w:ascii="宋体" w:hAnsi="宋体" w:eastAsia="宋体" w:cs="宋体"/>
          <w:color w:val="auto"/>
          <w:sz w:val="24"/>
          <w:szCs w:val="24"/>
        </w:rPr>
      </w:pPr>
    </w:p>
    <w:p w14:paraId="0B633493">
      <w:pPr>
        <w:pStyle w:val="21"/>
        <w:rPr>
          <w:rFonts w:ascii="宋体" w:hAnsi="宋体" w:eastAsia="宋体" w:cs="宋体"/>
          <w:color w:val="auto"/>
          <w:sz w:val="24"/>
          <w:szCs w:val="24"/>
        </w:rPr>
      </w:pPr>
    </w:p>
    <w:p w14:paraId="7820FF2A">
      <w:pPr>
        <w:rPr>
          <w:rFonts w:ascii="宋体" w:hAnsi="宋体" w:eastAsia="宋体" w:cs="宋体"/>
          <w:color w:val="auto"/>
          <w:sz w:val="24"/>
        </w:rPr>
      </w:pPr>
    </w:p>
    <w:p w14:paraId="642470C0">
      <w:pPr>
        <w:pStyle w:val="3"/>
        <w:ind w:firstLine="240"/>
        <w:rPr>
          <w:rFonts w:ascii="宋体" w:hAnsi="宋体" w:eastAsia="宋体" w:cs="宋体"/>
          <w:color w:val="auto"/>
          <w:sz w:val="24"/>
          <w:szCs w:val="24"/>
        </w:rPr>
      </w:pPr>
    </w:p>
    <w:p w14:paraId="49A53AEB">
      <w:pPr>
        <w:pStyle w:val="21"/>
        <w:rPr>
          <w:rFonts w:ascii="宋体" w:hAnsi="宋体" w:eastAsia="宋体" w:cs="宋体"/>
          <w:color w:val="auto"/>
          <w:sz w:val="24"/>
          <w:szCs w:val="24"/>
        </w:rPr>
      </w:pPr>
    </w:p>
    <w:p w14:paraId="7B088D30">
      <w:pPr>
        <w:rPr>
          <w:rFonts w:ascii="宋体" w:hAnsi="宋体" w:eastAsia="宋体" w:cs="宋体"/>
          <w:color w:val="auto"/>
          <w:sz w:val="24"/>
        </w:rPr>
      </w:pPr>
    </w:p>
    <w:p w14:paraId="06A84998">
      <w:pPr>
        <w:pStyle w:val="33"/>
        <w:rPr>
          <w:rFonts w:ascii="宋体" w:hAnsi="宋体" w:eastAsia="宋体" w:cs="宋体"/>
          <w:color w:val="auto"/>
          <w:sz w:val="24"/>
        </w:rPr>
      </w:pPr>
    </w:p>
    <w:p w14:paraId="2D12336D">
      <w:pPr>
        <w:pStyle w:val="33"/>
        <w:rPr>
          <w:rFonts w:ascii="宋体" w:hAnsi="宋体" w:eastAsia="宋体" w:cs="宋体"/>
          <w:color w:val="auto"/>
          <w:sz w:val="24"/>
        </w:rPr>
      </w:pPr>
    </w:p>
    <w:p w14:paraId="1F2F804F">
      <w:pPr>
        <w:pStyle w:val="33"/>
        <w:rPr>
          <w:rFonts w:ascii="宋体" w:hAnsi="宋体" w:eastAsia="宋体" w:cs="宋体"/>
          <w:color w:val="auto"/>
          <w:sz w:val="24"/>
        </w:rPr>
      </w:pPr>
    </w:p>
    <w:p w14:paraId="069B9412">
      <w:pPr>
        <w:pStyle w:val="33"/>
        <w:rPr>
          <w:rFonts w:ascii="宋体" w:hAnsi="宋体" w:eastAsia="宋体" w:cs="宋体"/>
          <w:color w:val="auto"/>
          <w:sz w:val="24"/>
        </w:rPr>
      </w:pPr>
    </w:p>
    <w:p w14:paraId="54813B7A">
      <w:pPr>
        <w:pStyle w:val="33"/>
        <w:rPr>
          <w:rFonts w:ascii="宋体" w:hAnsi="宋体" w:eastAsia="宋体" w:cs="宋体"/>
          <w:color w:val="auto"/>
          <w:sz w:val="24"/>
        </w:rPr>
      </w:pPr>
    </w:p>
    <w:p w14:paraId="4CD6EC27">
      <w:pPr>
        <w:pStyle w:val="33"/>
        <w:rPr>
          <w:rFonts w:ascii="宋体" w:hAnsi="宋体" w:eastAsia="宋体" w:cs="宋体"/>
          <w:color w:val="auto"/>
          <w:sz w:val="24"/>
        </w:rPr>
      </w:pPr>
    </w:p>
    <w:p w14:paraId="104657F6">
      <w:pPr>
        <w:pStyle w:val="33"/>
        <w:rPr>
          <w:rFonts w:ascii="宋体" w:hAnsi="宋体" w:eastAsia="宋体" w:cs="宋体"/>
          <w:color w:val="auto"/>
          <w:sz w:val="24"/>
        </w:rPr>
      </w:pPr>
    </w:p>
    <w:p w14:paraId="0A8C876C">
      <w:pPr>
        <w:pStyle w:val="33"/>
        <w:rPr>
          <w:rFonts w:ascii="宋体" w:hAnsi="宋体" w:eastAsia="宋体" w:cs="宋体"/>
          <w:color w:val="auto"/>
          <w:sz w:val="24"/>
        </w:rPr>
      </w:pPr>
    </w:p>
    <w:p w14:paraId="34FDF239">
      <w:pPr>
        <w:pStyle w:val="33"/>
        <w:rPr>
          <w:rFonts w:ascii="宋体" w:hAnsi="宋体" w:eastAsia="宋体" w:cs="宋体"/>
          <w:color w:val="auto"/>
          <w:sz w:val="24"/>
        </w:rPr>
      </w:pPr>
    </w:p>
    <w:p w14:paraId="29007BCF">
      <w:pPr>
        <w:pStyle w:val="33"/>
        <w:rPr>
          <w:rFonts w:ascii="宋体" w:hAnsi="宋体" w:eastAsia="宋体" w:cs="宋体"/>
          <w:color w:val="auto"/>
          <w:sz w:val="24"/>
        </w:rPr>
      </w:pPr>
    </w:p>
    <w:p w14:paraId="2D937DC9">
      <w:pPr>
        <w:pStyle w:val="33"/>
        <w:rPr>
          <w:rFonts w:ascii="宋体" w:hAnsi="宋体" w:eastAsia="宋体" w:cs="宋体"/>
          <w:color w:val="auto"/>
          <w:sz w:val="24"/>
        </w:rPr>
      </w:pPr>
    </w:p>
    <w:p w14:paraId="181B2E82">
      <w:pPr>
        <w:pStyle w:val="33"/>
        <w:rPr>
          <w:rFonts w:ascii="宋体" w:hAnsi="宋体" w:eastAsia="宋体" w:cs="宋体"/>
          <w:color w:val="auto"/>
          <w:sz w:val="24"/>
        </w:rPr>
      </w:pPr>
    </w:p>
    <w:p w14:paraId="5132F146">
      <w:pPr>
        <w:widowControl/>
        <w:snapToGrid w:val="0"/>
        <w:spacing w:line="360" w:lineRule="auto"/>
        <w:jc w:val="left"/>
        <w:rPr>
          <w:rFonts w:hint="eastAsia"/>
          <w:b/>
          <w:color w:val="auto"/>
          <w:sz w:val="21"/>
          <w:szCs w:val="21"/>
        </w:rPr>
      </w:pPr>
      <w:r>
        <w:rPr>
          <w:rFonts w:hint="eastAsia"/>
          <w:b/>
          <w:color w:val="auto"/>
          <w:sz w:val="21"/>
          <w:szCs w:val="21"/>
        </w:rPr>
        <w:t>附录：</w:t>
      </w:r>
    </w:p>
    <w:p w14:paraId="7F89F404">
      <w:pPr>
        <w:widowControl/>
        <w:snapToGrid w:val="0"/>
        <w:spacing w:line="360" w:lineRule="auto"/>
        <w:jc w:val="left"/>
        <w:rPr>
          <w:rFonts w:hint="eastAsia"/>
          <w:b/>
          <w:color w:val="auto"/>
          <w:sz w:val="21"/>
          <w:szCs w:val="21"/>
        </w:rPr>
      </w:pPr>
    </w:p>
    <w:tbl>
      <w:tblPr>
        <w:tblStyle w:val="26"/>
        <w:tblW w:w="97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2760"/>
        <w:gridCol w:w="3270"/>
        <w:gridCol w:w="2715"/>
      </w:tblGrid>
      <w:tr w14:paraId="02D6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18" w:type="dxa"/>
            <w:gridSpan w:val="4"/>
            <w:tcBorders>
              <w:top w:val="nil"/>
              <w:left w:val="nil"/>
              <w:bottom w:val="nil"/>
              <w:right w:val="nil"/>
            </w:tcBorders>
            <w:shd w:val="clear" w:color="FFFFFF" w:fill="FFFFFF"/>
            <w:vAlign w:val="center"/>
          </w:tcPr>
          <w:p w14:paraId="04C791C2">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default" w:ascii="黑体" w:hAnsi="宋体" w:eastAsia="黑体" w:cs="黑体"/>
                <w:b/>
                <w:bCs/>
                <w:i w:val="0"/>
                <w:iCs w:val="0"/>
                <w:color w:val="auto"/>
                <w:kern w:val="0"/>
                <w:sz w:val="44"/>
                <w:szCs w:val="44"/>
                <w:u w:val="none"/>
                <w:lang w:val="en-US" w:eastAsia="zh-CN" w:bidi="ar"/>
              </w:rPr>
              <w:t>专业工程</w:t>
            </w:r>
            <w:r>
              <w:rPr>
                <w:rFonts w:hint="eastAsia" w:ascii="黑体" w:hAnsi="宋体" w:eastAsia="黑体" w:cs="黑体"/>
                <w:b/>
                <w:bCs/>
                <w:i w:val="0"/>
                <w:iCs w:val="0"/>
                <w:color w:val="auto"/>
                <w:kern w:val="0"/>
                <w:sz w:val="44"/>
                <w:szCs w:val="44"/>
                <w:u w:val="none"/>
                <w:lang w:val="en-US" w:eastAsia="zh-CN" w:bidi="ar"/>
              </w:rPr>
              <w:t>投标报价计算程序</w:t>
            </w:r>
            <w:r>
              <w:rPr>
                <w:rFonts w:hint="default" w:ascii="黑体" w:hAnsi="宋体" w:eastAsia="黑体" w:cs="黑体"/>
                <w:b/>
                <w:bCs/>
                <w:i w:val="0"/>
                <w:iCs w:val="0"/>
                <w:color w:val="auto"/>
                <w:kern w:val="0"/>
                <w:sz w:val="44"/>
                <w:szCs w:val="44"/>
                <w:u w:val="none"/>
                <w:lang w:val="en-US" w:eastAsia="zh-CN" w:bidi="ar"/>
              </w:rPr>
              <w:t>表</w:t>
            </w:r>
          </w:p>
        </w:tc>
      </w:tr>
      <w:tr w14:paraId="2504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003" w:type="dxa"/>
            <w:gridSpan w:val="3"/>
            <w:tcBorders>
              <w:top w:val="nil"/>
              <w:left w:val="nil"/>
              <w:bottom w:val="nil"/>
              <w:right w:val="nil"/>
            </w:tcBorders>
            <w:shd w:val="clear" w:color="FFFFFF" w:fill="FFFFFF"/>
            <w:vAlign w:val="bottom"/>
          </w:tcPr>
          <w:p w14:paraId="09F7F604">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单位工程（专业）：北城办事处改造工程-房屋建筑与装饰</w:t>
            </w:r>
          </w:p>
        </w:tc>
        <w:tc>
          <w:tcPr>
            <w:tcW w:w="2715" w:type="dxa"/>
            <w:tcBorders>
              <w:top w:val="nil"/>
              <w:left w:val="nil"/>
              <w:bottom w:val="nil"/>
              <w:right w:val="nil"/>
            </w:tcBorders>
            <w:shd w:val="clear" w:color="FFFFFF" w:fill="FFFFFF"/>
            <w:vAlign w:val="bottom"/>
          </w:tcPr>
          <w:p w14:paraId="44A25C49">
            <w:pPr>
              <w:jc w:val="left"/>
              <w:rPr>
                <w:rFonts w:hint="eastAsia" w:ascii="宋体" w:hAnsi="宋体" w:eastAsia="宋体" w:cs="宋体"/>
                <w:i w:val="0"/>
                <w:iCs w:val="0"/>
                <w:color w:val="auto"/>
                <w:sz w:val="18"/>
                <w:szCs w:val="18"/>
                <w:u w:val="none"/>
              </w:rPr>
            </w:pPr>
          </w:p>
        </w:tc>
      </w:tr>
      <w:tr w14:paraId="15B2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23B61E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76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985E3E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汇 总 内 容</w:t>
            </w:r>
          </w:p>
        </w:tc>
        <w:tc>
          <w:tcPr>
            <w:tcW w:w="327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C23616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费用计算表达式</w:t>
            </w:r>
          </w:p>
        </w:tc>
        <w:tc>
          <w:tcPr>
            <w:tcW w:w="271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B7E433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r>
      <w:tr w14:paraId="79AB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5FE8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C95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分部分项工程费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92C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142B6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4455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E044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C52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其中：投标人工费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010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39AB4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2220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8AC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E2A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其中：人工价差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ECC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944BA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AA7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8F93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A5C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其中：投标机械费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63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0138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4A72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355D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1CF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其中：机械费价差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AD4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76278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E39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A5C0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1FE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7C3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2E296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7257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43AA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D4A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施工技术措施项目费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B75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8AC60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AAB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E434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3C2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其中：投标人工费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436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E5C3A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4F17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A44D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D3E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其中：人工价差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370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260D0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8C8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3120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ABA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其中：投标机械费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908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7E54C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6E01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038B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BE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其中：机械费价差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026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1B111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6513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E3C3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C6A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施工组织措施项目费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48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6.1+6.2+6.3+6.4+6.5+6.6</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E1791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8AC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965D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B96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安全文明施工基本费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E39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04C0F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2840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7871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6D1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提前竣工增加费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C28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4CC8E2">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35F1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14F2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CFA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二次搬运费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FA3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EC26D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67B0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6766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A1E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冬雨季施工增加费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739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0C360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3F24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8C4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D0A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行车、行人干扰增加费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CF8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B5D125">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03D3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1C31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2F2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其他施工组织措施费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7D6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625204">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604E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6D90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80A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其他项目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8E1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9CA25B">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1928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E5AC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四</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5E0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624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（1+3+5.1+5.3）×27.92%</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F83AE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3A66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1F71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C76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税前工程造价</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CCA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一+二+三+四</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49486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07B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C5C8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C74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税金</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D16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五×税率9%</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98C6E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C03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73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5F5AA6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合计（</w:t>
            </w:r>
            <w:r>
              <w:rPr>
                <w:rFonts w:hint="eastAsia" w:ascii="宋体" w:hAnsi="宋体" w:eastAsia="宋体" w:cs="宋体"/>
                <w:color w:val="auto"/>
                <w:kern w:val="0"/>
                <w:sz w:val="18"/>
                <w:szCs w:val="18"/>
              </w:rPr>
              <w:t>结转至投标报价明细表</w:t>
            </w:r>
            <w:r>
              <w:rPr>
                <w:rFonts w:hint="eastAsia" w:ascii="宋体" w:hAnsi="宋体" w:eastAsia="宋体" w:cs="宋体"/>
                <w:color w:val="auto"/>
                <w:kern w:val="0"/>
                <w:sz w:val="18"/>
                <w:szCs w:val="18"/>
                <w:lang w:val="en-US" w:eastAsia="zh-CN"/>
              </w:rPr>
              <w:t>-</w:t>
            </w:r>
            <w:r>
              <w:rPr>
                <w:rFonts w:hint="eastAsia" w:ascii="宋体" w:hAnsi="宋体" w:eastAsia="宋体" w:cs="宋体"/>
                <w:i w:val="0"/>
                <w:iCs w:val="0"/>
                <w:color w:val="auto"/>
                <w:kern w:val="0"/>
                <w:sz w:val="18"/>
                <w:szCs w:val="18"/>
                <w:u w:val="none"/>
                <w:lang w:val="en-US" w:eastAsia="zh-CN" w:bidi="ar"/>
              </w:rPr>
              <w:t>北城办事处改造工程-房屋建筑与装饰）</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10541">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五+六</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B225E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bl>
    <w:p w14:paraId="7F0739CC">
      <w:pPr>
        <w:widowControl/>
        <w:snapToGrid w:val="0"/>
        <w:spacing w:line="300" w:lineRule="exact"/>
        <w:rPr>
          <w:rFonts w:hAnsi="宋体" w:eastAsia="宋体"/>
          <w:color w:val="auto"/>
          <w:sz w:val="24"/>
        </w:rPr>
      </w:pPr>
      <w:r>
        <w:rPr>
          <w:rFonts w:hint="eastAsia"/>
          <w:b/>
          <w:color w:val="auto"/>
          <w:sz w:val="21"/>
          <w:szCs w:val="21"/>
        </w:rPr>
        <w:t>注：</w:t>
      </w:r>
      <w:r>
        <w:rPr>
          <w:rFonts w:hint="eastAsia" w:ascii="宋体"/>
          <w:b/>
          <w:color w:val="auto"/>
          <w:sz w:val="21"/>
          <w:szCs w:val="21"/>
        </w:rPr>
        <w:t>1、表所填内容应根据投标人实际情况填写。如有漏报的，视同已包含在投标报 （总）价内或已作优惠处理。有重大缺项的将作无效标处理。</w:t>
      </w:r>
    </w:p>
    <w:p w14:paraId="49D44C74">
      <w:pPr>
        <w:snapToGrid w:val="0"/>
        <w:spacing w:before="50" w:after="50"/>
        <w:ind w:right="-1400" w:rightChars="-389"/>
        <w:rPr>
          <w:rFonts w:hint="eastAsia" w:eastAsia="宋体"/>
          <w:color w:val="auto"/>
          <w:lang w:eastAsia="zh-CN"/>
        </w:rPr>
      </w:pPr>
      <w:r>
        <w:rPr>
          <w:rFonts w:hint="eastAsia" w:ascii="宋体" w:hAnsi="宋体" w:eastAsia="宋体" w:cs="宋体"/>
          <w:color w:val="auto"/>
          <w:sz w:val="24"/>
          <w:lang w:eastAsia="zh-CN"/>
        </w:rPr>
        <w:t>磋商供应商代表（签字或盖章）：</w:t>
      </w:r>
    </w:p>
    <w:p w14:paraId="76D04DF1">
      <w:pPr>
        <w:pStyle w:val="13"/>
        <w:spacing w:line="320" w:lineRule="exact"/>
        <w:ind w:right="480"/>
        <w:rPr>
          <w:rFonts w:hAnsi="宋体" w:eastAsia="宋体"/>
          <w:color w:val="auto"/>
          <w:sz w:val="24"/>
        </w:rPr>
      </w:pPr>
      <w:r>
        <w:rPr>
          <w:rFonts w:hint="eastAsia" w:hAnsi="宋体" w:eastAsia="宋体"/>
          <w:color w:val="auto"/>
          <w:sz w:val="24"/>
        </w:rPr>
        <w:t>磋商供应商名称（盖章）：</w:t>
      </w:r>
    </w:p>
    <w:p w14:paraId="3C0E0F6D">
      <w:pPr>
        <w:pStyle w:val="3"/>
        <w:ind w:firstLine="0" w:firstLineChars="0"/>
        <w:rPr>
          <w:rFonts w:eastAsia="宋体"/>
          <w:color w:val="auto"/>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eastAsia="宋体" w:cs="宋体"/>
          <w:color w:val="auto"/>
          <w:sz w:val="24"/>
          <w:szCs w:val="24"/>
        </w:rPr>
        <w:t>日期：</w:t>
      </w:r>
    </w:p>
    <w:tbl>
      <w:tblPr>
        <w:tblStyle w:val="26"/>
        <w:tblW w:w="14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416"/>
        <w:gridCol w:w="1917"/>
        <w:gridCol w:w="2759"/>
        <w:gridCol w:w="486"/>
        <w:gridCol w:w="916"/>
        <w:gridCol w:w="884"/>
        <w:gridCol w:w="884"/>
        <w:gridCol w:w="994"/>
        <w:gridCol w:w="945"/>
        <w:gridCol w:w="953"/>
        <w:gridCol w:w="989"/>
        <w:gridCol w:w="711"/>
      </w:tblGrid>
      <w:tr w14:paraId="2D21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14340" w:type="dxa"/>
            <w:gridSpan w:val="13"/>
            <w:tcBorders>
              <w:top w:val="nil"/>
              <w:left w:val="nil"/>
              <w:bottom w:val="nil"/>
              <w:right w:val="nil"/>
            </w:tcBorders>
            <w:shd w:val="clear" w:color="auto" w:fill="FFFFFF"/>
            <w:vAlign w:val="center"/>
          </w:tcPr>
          <w:p w14:paraId="5D375872">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分部分项工程量</w:t>
            </w:r>
            <w:r>
              <w:rPr>
                <w:rFonts w:hint="eastAsia" w:ascii="黑体" w:hAnsi="宋体" w:eastAsia="黑体" w:cs="黑体"/>
                <w:b/>
                <w:bCs/>
                <w:i w:val="0"/>
                <w:iCs w:val="0"/>
                <w:color w:val="auto"/>
                <w:kern w:val="0"/>
                <w:sz w:val="36"/>
                <w:szCs w:val="36"/>
                <w:u w:val="none"/>
                <w:lang w:val="en-US" w:eastAsia="zh-CN" w:bidi="ar"/>
              </w:rPr>
              <w:t>清单与报价表</w:t>
            </w:r>
          </w:p>
        </w:tc>
      </w:tr>
      <w:tr w14:paraId="13CF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1687" w:type="dxa"/>
            <w:gridSpan w:val="10"/>
            <w:tcBorders>
              <w:top w:val="nil"/>
              <w:left w:val="nil"/>
              <w:bottom w:val="nil"/>
              <w:right w:val="nil"/>
            </w:tcBorders>
            <w:shd w:val="clear" w:color="auto" w:fill="FFFFFF"/>
            <w:vAlign w:val="bottom"/>
          </w:tcPr>
          <w:p w14:paraId="3266EEC4">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单位工程（专业）：北城办事处改造工程-房屋建筑与装饰</w:t>
            </w:r>
          </w:p>
        </w:tc>
        <w:tc>
          <w:tcPr>
            <w:tcW w:w="2653" w:type="dxa"/>
            <w:gridSpan w:val="3"/>
            <w:tcBorders>
              <w:top w:val="nil"/>
              <w:left w:val="nil"/>
              <w:bottom w:val="nil"/>
              <w:right w:val="nil"/>
            </w:tcBorders>
            <w:shd w:val="clear" w:color="auto" w:fill="FFFFFF"/>
            <w:vAlign w:val="bottom"/>
          </w:tcPr>
          <w:p w14:paraId="47B83594">
            <w:pPr>
              <w:jc w:val="right"/>
              <w:rPr>
                <w:rFonts w:hint="eastAsia" w:ascii="宋体" w:hAnsi="宋体" w:eastAsia="宋体" w:cs="宋体"/>
                <w:i w:val="0"/>
                <w:iCs w:val="0"/>
                <w:color w:val="auto"/>
                <w:sz w:val="20"/>
                <w:szCs w:val="20"/>
                <w:u w:val="none"/>
              </w:rPr>
            </w:pPr>
          </w:p>
        </w:tc>
      </w:tr>
      <w:tr w14:paraId="5F74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FC7F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27CC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66910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4725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6913D">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559B3F5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C6709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89136">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综合单价</w:t>
            </w:r>
          </w:p>
          <w:p w14:paraId="33E8A32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97B354">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合价</w:t>
            </w:r>
          </w:p>
          <w:p w14:paraId="7EEE006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38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FD11A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其中(元)</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CA66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3B0A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40761">
            <w:pPr>
              <w:jc w:val="center"/>
              <w:rPr>
                <w:rFonts w:hint="eastAsia" w:ascii="宋体" w:hAnsi="宋体" w:eastAsia="宋体" w:cs="宋体"/>
                <w:b/>
                <w:bCs/>
                <w:i w:val="0"/>
                <w:iCs w:val="0"/>
                <w:color w:val="auto"/>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08DD8">
            <w:pPr>
              <w:jc w:val="center"/>
              <w:rPr>
                <w:rFonts w:hint="eastAsia" w:ascii="宋体" w:hAnsi="宋体" w:eastAsia="宋体" w:cs="宋体"/>
                <w:b/>
                <w:bCs/>
                <w:i w:val="0"/>
                <w:iCs w:val="0"/>
                <w:color w:val="auto"/>
                <w:sz w:val="18"/>
                <w:szCs w:val="18"/>
                <w:u w:val="none"/>
              </w:rPr>
            </w:pP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C1F15">
            <w:pPr>
              <w:jc w:val="center"/>
              <w:rPr>
                <w:rFonts w:hint="eastAsia" w:ascii="宋体" w:hAnsi="宋体" w:eastAsia="宋体" w:cs="宋体"/>
                <w:b/>
                <w:bCs/>
                <w:i w:val="0"/>
                <w:iCs w:val="0"/>
                <w:color w:val="auto"/>
                <w:sz w:val="18"/>
                <w:szCs w:val="18"/>
                <w:u w:val="none"/>
              </w:rPr>
            </w:pPr>
          </w:p>
        </w:tc>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5F665">
            <w:pPr>
              <w:jc w:val="center"/>
              <w:rPr>
                <w:rFonts w:hint="eastAsia" w:ascii="宋体" w:hAnsi="宋体" w:eastAsia="宋体" w:cs="宋体"/>
                <w:b/>
                <w:bCs/>
                <w:i w:val="0"/>
                <w:iCs w:val="0"/>
                <w:color w:val="auto"/>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FBBCC">
            <w:pPr>
              <w:jc w:val="center"/>
              <w:rPr>
                <w:rFonts w:hint="eastAsia" w:ascii="宋体" w:hAnsi="宋体" w:eastAsia="宋体" w:cs="宋体"/>
                <w:b/>
                <w:bCs/>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E5FE1">
            <w:pPr>
              <w:jc w:val="center"/>
              <w:rPr>
                <w:rFonts w:hint="eastAsia" w:ascii="宋体" w:hAnsi="宋体" w:eastAsia="宋体" w:cs="宋体"/>
                <w:b/>
                <w:bCs/>
                <w:i w:val="0"/>
                <w:iCs w:val="0"/>
                <w:color w:val="auto"/>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9CC3C">
            <w:pPr>
              <w:jc w:val="center"/>
              <w:rPr>
                <w:rFonts w:hint="eastAsia" w:ascii="宋体" w:hAnsi="宋体" w:eastAsia="宋体" w:cs="宋体"/>
                <w:b/>
                <w:bCs/>
                <w:i w:val="0"/>
                <w:iCs w:val="0"/>
                <w:color w:val="auto"/>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58309">
            <w:pPr>
              <w:jc w:val="center"/>
              <w:rPr>
                <w:rFonts w:hint="eastAsia" w:ascii="宋体" w:hAnsi="宋体" w:eastAsia="宋体" w:cs="宋体"/>
                <w:b/>
                <w:bCs/>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BD95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投标人工费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9B77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人工费价差</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34F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投标机械费</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E05D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机械费价差</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46E23">
            <w:pPr>
              <w:jc w:val="center"/>
              <w:rPr>
                <w:rFonts w:hint="eastAsia" w:ascii="宋体" w:hAnsi="宋体" w:eastAsia="宋体" w:cs="宋体"/>
                <w:b/>
                <w:bCs/>
                <w:i w:val="0"/>
                <w:iCs w:val="0"/>
                <w:color w:val="auto"/>
                <w:sz w:val="18"/>
                <w:szCs w:val="18"/>
                <w:u w:val="none"/>
              </w:rPr>
            </w:pPr>
          </w:p>
        </w:tc>
      </w:tr>
      <w:tr w14:paraId="0C7D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59A7">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A5882">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E1F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砌筑工程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D1E3B">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E175">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6973">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0440">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5E5F9">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3742">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05C1">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26E6">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2D45">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F9A2B">
            <w:pPr>
              <w:jc w:val="left"/>
              <w:rPr>
                <w:rFonts w:hint="eastAsia" w:ascii="宋体" w:hAnsi="宋体" w:eastAsia="宋体" w:cs="宋体"/>
                <w:i w:val="0"/>
                <w:iCs w:val="0"/>
                <w:color w:val="auto"/>
                <w:sz w:val="18"/>
                <w:szCs w:val="18"/>
                <w:u w:val="none"/>
              </w:rPr>
            </w:pPr>
          </w:p>
        </w:tc>
      </w:tr>
      <w:tr w14:paraId="24BD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B3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85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010402001001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CE3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砌块墙</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D4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1、砌块品种、规格、强度等级：B06(A3.5)蒸压砂加气砼砌块；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2、墙体类型：150厚以内；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3、砂浆强度等级：M7.5专用砂浆砌筑，采用预拌砂浆；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4、含墙底导墙和墙顶与梁、板处理斜砌法补砌工艺、柔性打胶嵌缝详见图纸设计；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5、商品砂浆运距包干。</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51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6C5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6270C">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6E84">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8024">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CD5E">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4F16">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8F0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374B">
            <w:pPr>
              <w:jc w:val="left"/>
              <w:rPr>
                <w:rFonts w:hint="eastAsia" w:ascii="宋体" w:hAnsi="宋体" w:eastAsia="宋体" w:cs="宋体"/>
                <w:i w:val="0"/>
                <w:iCs w:val="0"/>
                <w:color w:val="auto"/>
                <w:sz w:val="18"/>
                <w:szCs w:val="18"/>
                <w:u w:val="none"/>
              </w:rPr>
            </w:pPr>
          </w:p>
        </w:tc>
      </w:tr>
      <w:tr w14:paraId="34B8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BC98">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D790">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493E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FB366">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456B">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1C4C7">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6B3F">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5D9A5">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B1E26">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F8CE">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029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8249">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8115">
            <w:pPr>
              <w:jc w:val="left"/>
              <w:rPr>
                <w:rFonts w:hint="eastAsia" w:ascii="宋体" w:hAnsi="宋体" w:eastAsia="宋体" w:cs="宋体"/>
                <w:i w:val="0"/>
                <w:iCs w:val="0"/>
                <w:color w:val="auto"/>
                <w:sz w:val="18"/>
                <w:szCs w:val="18"/>
                <w:u w:val="none"/>
              </w:rPr>
            </w:pPr>
          </w:p>
        </w:tc>
      </w:tr>
      <w:tr w14:paraId="5B95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22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F1E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010805005005</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D1D5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6B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1.门代号及洞口尺寸:920mm*2100mm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11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3DF2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8B0D">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54FB">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9454">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AD4E7">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B520">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C7D6">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F9BA">
            <w:pPr>
              <w:jc w:val="left"/>
              <w:rPr>
                <w:rFonts w:hint="eastAsia" w:ascii="宋体" w:hAnsi="宋体" w:eastAsia="宋体" w:cs="宋体"/>
                <w:i w:val="0"/>
                <w:iCs w:val="0"/>
                <w:color w:val="auto"/>
                <w:sz w:val="18"/>
                <w:szCs w:val="18"/>
                <w:u w:val="none"/>
              </w:rPr>
            </w:pPr>
          </w:p>
        </w:tc>
      </w:tr>
      <w:tr w14:paraId="6F6B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C9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0E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010805005006</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1D2C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73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1.门代号及洞口尺寸:1020mm*2100mm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16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AB3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D3F3">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E9A4D">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15DDA">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2446A">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83C1">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5271">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165E">
            <w:pPr>
              <w:jc w:val="left"/>
              <w:rPr>
                <w:rFonts w:hint="eastAsia" w:ascii="宋体" w:hAnsi="宋体" w:eastAsia="宋体" w:cs="宋体"/>
                <w:i w:val="0"/>
                <w:iCs w:val="0"/>
                <w:color w:val="auto"/>
                <w:sz w:val="18"/>
                <w:szCs w:val="18"/>
                <w:u w:val="none"/>
              </w:rPr>
            </w:pPr>
          </w:p>
        </w:tc>
      </w:tr>
      <w:tr w14:paraId="4F44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5E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B4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010805005007</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F62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全玻自由门</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20D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1.门代号及洞口尺寸:1600mm*2100mm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2.玻璃品种、厚度:10mm钢化玻璃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3.不锈钢金属拉手 H=600  管径38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4.地弹簧（不含门锁）</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39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49DF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6450">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F392">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98462">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CDB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B6D7">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8414">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945A">
            <w:pPr>
              <w:jc w:val="left"/>
              <w:rPr>
                <w:rFonts w:hint="eastAsia" w:ascii="宋体" w:hAnsi="宋体" w:eastAsia="宋体" w:cs="宋体"/>
                <w:i w:val="0"/>
                <w:iCs w:val="0"/>
                <w:color w:val="auto"/>
                <w:sz w:val="18"/>
                <w:szCs w:val="18"/>
                <w:u w:val="none"/>
              </w:rPr>
            </w:pPr>
          </w:p>
        </w:tc>
      </w:tr>
      <w:tr w14:paraId="0217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AC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93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010801002001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01A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木质门带套</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FD9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1.门代号及洞口尺寸:成品实木门，尺寸：800mm*2100mm（含门套、单开执手锁、合页）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AB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26AE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75736">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7BA2F">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4219E">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9A77">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40B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557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8500">
            <w:pPr>
              <w:jc w:val="left"/>
              <w:rPr>
                <w:rFonts w:hint="eastAsia" w:ascii="宋体" w:hAnsi="宋体" w:eastAsia="宋体" w:cs="宋体"/>
                <w:i w:val="0"/>
                <w:iCs w:val="0"/>
                <w:color w:val="auto"/>
                <w:sz w:val="18"/>
                <w:szCs w:val="18"/>
                <w:u w:val="none"/>
              </w:rPr>
            </w:pPr>
          </w:p>
        </w:tc>
      </w:tr>
      <w:tr w14:paraId="2EDB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85FF0">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862C">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D01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墙、柱面装饰与隔断、幕墙工程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CBF9">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F6FD">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C85C">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E949">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CAE4">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97C3">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7934D">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18A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65AC0">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78F5">
            <w:pPr>
              <w:jc w:val="left"/>
              <w:rPr>
                <w:rFonts w:hint="eastAsia" w:ascii="宋体" w:hAnsi="宋体" w:eastAsia="宋体" w:cs="宋体"/>
                <w:i w:val="0"/>
                <w:iCs w:val="0"/>
                <w:color w:val="auto"/>
                <w:sz w:val="18"/>
                <w:szCs w:val="18"/>
                <w:u w:val="none"/>
              </w:rPr>
            </w:pPr>
          </w:p>
        </w:tc>
      </w:tr>
      <w:tr w14:paraId="6A16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2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8F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011210003001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64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玻璃隔断</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E6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黑色窄边不锈钢钢化玻璃隔断定制：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1、边框材料种类、规格：不锈钢壁厚1.2mm；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2、玻璃品种、规格、颜色：10mm钢化玻璃；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3、详见图纸。</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493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EE94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1254.14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708E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E800">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001F4">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3DD2">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93F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D021A">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5976">
            <w:pPr>
              <w:jc w:val="left"/>
              <w:rPr>
                <w:rFonts w:hint="eastAsia" w:ascii="宋体" w:hAnsi="宋体" w:eastAsia="宋体" w:cs="宋体"/>
                <w:i w:val="0"/>
                <w:iCs w:val="0"/>
                <w:color w:val="auto"/>
                <w:sz w:val="18"/>
                <w:szCs w:val="18"/>
                <w:u w:val="none"/>
              </w:rPr>
            </w:pPr>
          </w:p>
        </w:tc>
      </w:tr>
      <w:tr w14:paraId="5DBB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12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5CA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287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墙面一般抹灰</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2F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1、20厚1:3水泥砂浆分遍抹平压光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2、砖墙或砼墙基层处理。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3、商品砂浆运距包干。</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CC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895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90.64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D9E0">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91273">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C655">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70565">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2FF2">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BF495">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404C">
            <w:pPr>
              <w:jc w:val="left"/>
              <w:rPr>
                <w:rFonts w:hint="eastAsia" w:ascii="宋体" w:hAnsi="宋体" w:eastAsia="宋体" w:cs="宋体"/>
                <w:i w:val="0"/>
                <w:iCs w:val="0"/>
                <w:color w:val="auto"/>
                <w:sz w:val="18"/>
                <w:szCs w:val="18"/>
                <w:u w:val="none"/>
              </w:rPr>
            </w:pPr>
          </w:p>
        </w:tc>
      </w:tr>
      <w:tr w14:paraId="4743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6EEF2">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6173">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62DD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CDB1F">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3029">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DA7F">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723A7">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CD296">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2373">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1316">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71E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94EE">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2599A">
            <w:pPr>
              <w:jc w:val="left"/>
              <w:rPr>
                <w:rFonts w:hint="eastAsia" w:ascii="宋体" w:hAnsi="宋体" w:eastAsia="宋体" w:cs="宋体"/>
                <w:i w:val="0"/>
                <w:iCs w:val="0"/>
                <w:color w:val="auto"/>
                <w:sz w:val="18"/>
                <w:szCs w:val="18"/>
                <w:u w:val="none"/>
              </w:rPr>
            </w:pPr>
          </w:p>
        </w:tc>
      </w:tr>
      <w:tr w14:paraId="41D7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44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E1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011302002001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020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格栅吊顶</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BA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铝方通吊顶：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1、钢筋混凝土板底面清理干净；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2、板底钻孔，固定镀锌膨胀螺栓，双向中距≤1200；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3、直径8钢筋吊杆，双向中距≤1200.吊杆上部与板底预留吊环（钩）固定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4、铝方通专用龙骨与固定副龙固定间距控制在900-1200 边距300以内配件的组件构造都具备现场使用的可施工性及可拆卸、调整性；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5、方型40*100*0.8mm白色铝方通@100mm(铝方通与铝方通之间净间距60mm）吊顶。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具体做法详见施工图</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A10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38E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32.16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36DA">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2B7A2">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73AA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AA06">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02A8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8E47">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3B67">
            <w:pPr>
              <w:jc w:val="left"/>
              <w:rPr>
                <w:rFonts w:hint="eastAsia" w:ascii="宋体" w:hAnsi="宋体" w:eastAsia="宋体" w:cs="宋体"/>
                <w:i w:val="0"/>
                <w:iCs w:val="0"/>
                <w:color w:val="auto"/>
                <w:sz w:val="18"/>
                <w:szCs w:val="18"/>
                <w:u w:val="none"/>
              </w:rPr>
            </w:pPr>
          </w:p>
        </w:tc>
      </w:tr>
      <w:tr w14:paraId="43A7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0B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47F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7546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4D3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天棚面层 软膜吊顶 矩形</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D3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6E6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9BC3">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9416B">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8C791">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137A">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FFC7">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4D2F">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448B4">
            <w:pPr>
              <w:jc w:val="left"/>
              <w:rPr>
                <w:rFonts w:hint="eastAsia" w:ascii="宋体" w:hAnsi="宋体" w:eastAsia="宋体" w:cs="宋体"/>
                <w:i w:val="0"/>
                <w:iCs w:val="0"/>
                <w:color w:val="auto"/>
                <w:sz w:val="18"/>
                <w:szCs w:val="18"/>
                <w:u w:val="none"/>
              </w:rPr>
            </w:pPr>
          </w:p>
        </w:tc>
      </w:tr>
      <w:tr w14:paraId="5C05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5B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E7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011302001002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36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90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石膏板吊顶（平面）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1、φ8钢筋吊杆用膨胀螺栓与顶板固定，双向中距≤900mm；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2、U50轻钢龙骨基层（主龙骨中距≤900mm，次龙骨中距≤300mm，横撑龙骨中距≤600mm）；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3、9.5mm厚纸面石膏板，自攻螺丝固定于龙骨；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4、板缝贴胶带、点锈；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5、包括顶面灯具、风口等设备处开孔、加固。</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09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BEA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37B50">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74881">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9256">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FC4E">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B50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4874">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B64E">
            <w:pPr>
              <w:jc w:val="left"/>
              <w:rPr>
                <w:rFonts w:hint="eastAsia" w:ascii="宋体" w:hAnsi="宋体" w:eastAsia="宋体" w:cs="宋体"/>
                <w:i w:val="0"/>
                <w:iCs w:val="0"/>
                <w:color w:val="auto"/>
                <w:sz w:val="18"/>
                <w:szCs w:val="18"/>
                <w:u w:val="none"/>
              </w:rPr>
            </w:pPr>
          </w:p>
        </w:tc>
      </w:tr>
      <w:tr w14:paraId="7540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DD2A">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FE75">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08F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343A">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EF8E">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BABB3">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E11A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0513">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F56BA">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99A5">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618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24C9">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7F86A">
            <w:pPr>
              <w:jc w:val="left"/>
              <w:rPr>
                <w:rFonts w:hint="eastAsia" w:ascii="宋体" w:hAnsi="宋体" w:eastAsia="宋体" w:cs="宋体"/>
                <w:i w:val="0"/>
                <w:iCs w:val="0"/>
                <w:color w:val="auto"/>
                <w:sz w:val="18"/>
                <w:szCs w:val="18"/>
                <w:u w:val="none"/>
              </w:rPr>
            </w:pPr>
          </w:p>
        </w:tc>
      </w:tr>
      <w:tr w14:paraId="62D1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09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32F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010903002001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E05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墙面涂膜防水</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A4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1、聚合物水泥防水涂料 厚度1.2mm 立面</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47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B076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3829.57</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0521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0ECD">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8FE2">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2FB8">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5ED95">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EFA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86311">
            <w:pPr>
              <w:jc w:val="left"/>
              <w:rPr>
                <w:rFonts w:hint="eastAsia" w:ascii="宋体" w:hAnsi="宋体" w:eastAsia="宋体" w:cs="宋体"/>
                <w:i w:val="0"/>
                <w:iCs w:val="0"/>
                <w:color w:val="auto"/>
                <w:sz w:val="18"/>
                <w:szCs w:val="18"/>
                <w:u w:val="none"/>
              </w:rPr>
            </w:pPr>
          </w:p>
        </w:tc>
      </w:tr>
      <w:tr w14:paraId="61BC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B44CF">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AB398">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4B5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油漆、涂料、裱糊工程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DA24">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593DB">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2525">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850D">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C909">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421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16EC">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012E">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EE1D">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D26F1">
            <w:pPr>
              <w:jc w:val="left"/>
              <w:rPr>
                <w:rFonts w:hint="eastAsia" w:ascii="宋体" w:hAnsi="宋体" w:eastAsia="宋体" w:cs="宋体"/>
                <w:i w:val="0"/>
                <w:iCs w:val="0"/>
                <w:color w:val="auto"/>
                <w:sz w:val="18"/>
                <w:szCs w:val="18"/>
                <w:u w:val="none"/>
              </w:rPr>
            </w:pPr>
          </w:p>
        </w:tc>
      </w:tr>
      <w:tr w14:paraId="7AB9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59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865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EBED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BB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1、乳胶漆墙、柱、天棚面三遍（含腻子基层，工料机）</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AFF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7C9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7038.16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27701">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AF170">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0C17">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0717">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6B92">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9F0B">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7021">
            <w:pPr>
              <w:jc w:val="left"/>
              <w:rPr>
                <w:rFonts w:hint="eastAsia" w:ascii="宋体" w:hAnsi="宋体" w:eastAsia="宋体" w:cs="宋体"/>
                <w:i w:val="0"/>
                <w:iCs w:val="0"/>
                <w:color w:val="auto"/>
                <w:sz w:val="18"/>
                <w:szCs w:val="18"/>
                <w:u w:val="none"/>
              </w:rPr>
            </w:pPr>
          </w:p>
        </w:tc>
      </w:tr>
      <w:tr w14:paraId="036E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ACC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6A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011407001002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D2CE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27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1、外墙涂料弹性涂料含腻子基层，工料机）</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84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13D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3829.57</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AD71D">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C1F8D">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2CA4F">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6320">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98DAB">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6754C">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12A0">
            <w:pPr>
              <w:jc w:val="left"/>
              <w:rPr>
                <w:rFonts w:hint="eastAsia" w:ascii="宋体" w:hAnsi="宋体" w:eastAsia="宋体" w:cs="宋体"/>
                <w:i w:val="0"/>
                <w:iCs w:val="0"/>
                <w:color w:val="auto"/>
                <w:sz w:val="18"/>
                <w:szCs w:val="18"/>
                <w:u w:val="none"/>
              </w:rPr>
            </w:pPr>
          </w:p>
        </w:tc>
      </w:tr>
      <w:tr w14:paraId="6309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555E">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1B1DF">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D74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其他装饰工程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FCF3">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EC95">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63F3">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52C8">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D7DE1">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A1291">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4913">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B17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361A">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A027">
            <w:pPr>
              <w:jc w:val="left"/>
              <w:rPr>
                <w:rFonts w:hint="eastAsia" w:ascii="宋体" w:hAnsi="宋体" w:eastAsia="宋体" w:cs="宋体"/>
                <w:i w:val="0"/>
                <w:iCs w:val="0"/>
                <w:color w:val="auto"/>
                <w:sz w:val="18"/>
                <w:szCs w:val="18"/>
                <w:u w:val="none"/>
              </w:rPr>
            </w:pPr>
          </w:p>
        </w:tc>
      </w:tr>
      <w:tr w14:paraId="62A1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C3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B9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A4A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家具搬运</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50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1、现状家具搬运，结算按时签证结算</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073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A4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69D2">
            <w:pPr>
              <w:jc w:val="center"/>
              <w:rPr>
                <w:rFonts w:hint="default" w:ascii="Arial" w:hAnsi="Arial" w:eastAsia="宋体" w:cs="Arial"/>
                <w:i w:val="0"/>
                <w:iCs w:val="0"/>
                <w:color w:val="auto"/>
                <w:sz w:val="18"/>
                <w:szCs w:val="18"/>
                <w:u w:val="none"/>
                <w:lang w:val="en-US" w:eastAsia="zh-CN"/>
              </w:rPr>
            </w:pPr>
            <w:r>
              <w:rPr>
                <w:rFonts w:hint="eastAsia" w:ascii="Arial" w:hAnsi="Arial" w:eastAsia="宋体" w:cs="Arial"/>
                <w:i w:val="0"/>
                <w:iCs w:val="0"/>
                <w:color w:val="auto"/>
                <w:sz w:val="18"/>
                <w:szCs w:val="18"/>
                <w:u w:val="none"/>
                <w:lang w:val="en-US" w:eastAsia="zh-CN"/>
              </w:rPr>
              <w:t>12000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5104">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12000</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53A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F648">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3E81">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8057F">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B7D11">
            <w:pPr>
              <w:jc w:val="left"/>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暂定价</w:t>
            </w:r>
          </w:p>
        </w:tc>
      </w:tr>
      <w:tr w14:paraId="79F0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1F530">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3B3D">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857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13E4">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4040">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13DC">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EDA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D344">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D7B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3E6CE">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A1940">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03431">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5F0B5">
            <w:pPr>
              <w:jc w:val="left"/>
              <w:rPr>
                <w:rFonts w:hint="eastAsia" w:ascii="宋体" w:hAnsi="宋体" w:eastAsia="宋体" w:cs="宋体"/>
                <w:i w:val="0"/>
                <w:iCs w:val="0"/>
                <w:color w:val="auto"/>
                <w:sz w:val="18"/>
                <w:szCs w:val="18"/>
                <w:u w:val="none"/>
              </w:rPr>
            </w:pPr>
          </w:p>
        </w:tc>
      </w:tr>
      <w:tr w14:paraId="38B7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F0F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C4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011601001001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E95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砖砌体拆除</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77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1、粘土砖(实心砖)实心砖墙拆除</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415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CA7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281.96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FB5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CD7B">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C84F">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B040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9E7A">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8B8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69695">
            <w:pPr>
              <w:jc w:val="left"/>
              <w:rPr>
                <w:rFonts w:hint="eastAsia" w:ascii="宋体" w:hAnsi="宋体" w:eastAsia="宋体" w:cs="宋体"/>
                <w:i w:val="0"/>
                <w:iCs w:val="0"/>
                <w:color w:val="auto"/>
                <w:sz w:val="18"/>
                <w:szCs w:val="18"/>
                <w:u w:val="none"/>
              </w:rPr>
            </w:pPr>
          </w:p>
        </w:tc>
      </w:tr>
      <w:tr w14:paraId="679D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8C5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B4B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011605001002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931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平面块料拆除</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BB8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1、地面拆除 块料面层铲除 地面砖</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B3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94C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34.42</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BFBD5">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C344">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70B7">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065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2E05">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46B6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FEA3">
            <w:pPr>
              <w:jc w:val="left"/>
              <w:rPr>
                <w:rFonts w:hint="eastAsia" w:ascii="宋体" w:hAnsi="宋体" w:eastAsia="宋体" w:cs="宋体"/>
                <w:i w:val="0"/>
                <w:iCs w:val="0"/>
                <w:color w:val="auto"/>
                <w:sz w:val="18"/>
                <w:szCs w:val="18"/>
                <w:u w:val="none"/>
              </w:rPr>
            </w:pPr>
          </w:p>
        </w:tc>
      </w:tr>
      <w:tr w14:paraId="2EEF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C0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2C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011606001001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EA7B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楼地面龙骨及饰面拆除</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578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1、旧静电地板拆除</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D87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3CE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25.54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7D8A">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D828">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13CC">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B289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325D">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7B415">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7D31">
            <w:pPr>
              <w:jc w:val="left"/>
              <w:rPr>
                <w:rFonts w:hint="eastAsia" w:ascii="宋体" w:hAnsi="宋体" w:eastAsia="宋体" w:cs="宋体"/>
                <w:i w:val="0"/>
                <w:iCs w:val="0"/>
                <w:color w:val="auto"/>
                <w:sz w:val="18"/>
                <w:szCs w:val="18"/>
                <w:u w:val="none"/>
              </w:rPr>
            </w:pPr>
          </w:p>
        </w:tc>
      </w:tr>
      <w:tr w14:paraId="265D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70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1D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011608002001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173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铲除涂料面</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34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1、抹灰面铲涂料</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52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D1E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10867.73</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1B951">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92AC">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4E15">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3FBA">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50214">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95EB">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6B3C6">
            <w:pPr>
              <w:jc w:val="left"/>
              <w:rPr>
                <w:rFonts w:hint="eastAsia" w:ascii="宋体" w:hAnsi="宋体" w:eastAsia="宋体" w:cs="宋体"/>
                <w:i w:val="0"/>
                <w:iCs w:val="0"/>
                <w:color w:val="auto"/>
                <w:sz w:val="18"/>
                <w:szCs w:val="18"/>
                <w:u w:val="none"/>
              </w:rPr>
            </w:pPr>
          </w:p>
        </w:tc>
      </w:tr>
      <w:tr w14:paraId="6E3A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4CB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92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011606003001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787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天棚面龙骨及饰面拆除</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A1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1、天棚拆除 龙骨及饰面拆除 金属龙骨石膏面</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2FA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1B2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9442">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241AE">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F2FD2">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6B6F">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EEB34">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A6DD">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FAB4">
            <w:pPr>
              <w:jc w:val="left"/>
              <w:rPr>
                <w:rFonts w:hint="eastAsia" w:ascii="宋体" w:hAnsi="宋体" w:eastAsia="宋体" w:cs="宋体"/>
                <w:i w:val="0"/>
                <w:iCs w:val="0"/>
                <w:color w:val="auto"/>
                <w:sz w:val="18"/>
                <w:szCs w:val="18"/>
                <w:u w:val="none"/>
              </w:rPr>
            </w:pPr>
          </w:p>
        </w:tc>
      </w:tr>
      <w:tr w14:paraId="4E32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835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D47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010103002002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0FD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余方弃置</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EE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1、废弃料品种：建筑垃圾外运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2、建筑垃圾外运清单工程量单位为m3*公里，运距需业主单位签证确认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3、清单工程量=定额工程量</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D8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m3*公里</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FB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3059.85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331B">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43B39">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D27E1">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7F6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8623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4956">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D277">
            <w:pPr>
              <w:jc w:val="left"/>
              <w:rPr>
                <w:rFonts w:hint="eastAsia" w:ascii="宋体" w:hAnsi="宋体" w:eastAsia="宋体" w:cs="宋体"/>
                <w:i w:val="0"/>
                <w:iCs w:val="0"/>
                <w:color w:val="auto"/>
                <w:sz w:val="18"/>
                <w:szCs w:val="18"/>
                <w:u w:val="none"/>
              </w:rPr>
            </w:pPr>
          </w:p>
        </w:tc>
      </w:tr>
      <w:tr w14:paraId="169A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8C9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E2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H010103003002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591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渣土消纳处置费用</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B5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1、建筑垃圾消纳费暂按一项考虑，结算时按实签证结算</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DE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49C5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623E">
            <w:pPr>
              <w:jc w:val="center"/>
              <w:rPr>
                <w:rFonts w:hint="eastAsia" w:ascii="Arial" w:hAnsi="Arial" w:eastAsia="宋体" w:cs="Arial"/>
                <w:i w:val="0"/>
                <w:iCs w:val="0"/>
                <w:color w:val="auto"/>
                <w:sz w:val="18"/>
                <w:szCs w:val="18"/>
                <w:u w:val="none"/>
              </w:rPr>
            </w:pPr>
            <w:r>
              <w:rPr>
                <w:rFonts w:hint="eastAsia" w:ascii="Arial" w:hAnsi="Arial" w:eastAsia="宋体" w:cs="Arial"/>
                <w:i w:val="0"/>
                <w:iCs w:val="0"/>
                <w:color w:val="auto"/>
                <w:sz w:val="18"/>
                <w:szCs w:val="18"/>
                <w:u w:val="none"/>
                <w:lang w:val="en-US" w:eastAsia="zh-CN"/>
              </w:rPr>
              <w:t>10000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85E2">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10000</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8B9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2CBD3">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22D0">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9DC5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54CC">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eastAsia="zh-CN"/>
              </w:rPr>
              <w:t>暂定价</w:t>
            </w:r>
          </w:p>
        </w:tc>
      </w:tr>
      <w:tr w14:paraId="3DE8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86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97C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   计</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5A59">
            <w:pPr>
              <w:jc w:val="right"/>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9EF3">
            <w:pPr>
              <w:jc w:val="right"/>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AA9FC">
            <w:pPr>
              <w:jc w:val="right"/>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F77CA">
            <w:pPr>
              <w:jc w:val="right"/>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CE0CF">
            <w:pPr>
              <w:jc w:val="right"/>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67889">
            <w:pPr>
              <w:jc w:val="left"/>
              <w:rPr>
                <w:rFonts w:hint="eastAsia" w:ascii="宋体" w:hAnsi="宋体" w:eastAsia="宋体" w:cs="宋体"/>
                <w:i w:val="0"/>
                <w:iCs w:val="0"/>
                <w:color w:val="auto"/>
                <w:sz w:val="18"/>
                <w:szCs w:val="18"/>
                <w:u w:val="none"/>
              </w:rPr>
            </w:pPr>
          </w:p>
        </w:tc>
      </w:tr>
    </w:tbl>
    <w:p w14:paraId="5B3127E8">
      <w:pPr>
        <w:widowControl/>
        <w:snapToGrid w:val="0"/>
        <w:spacing w:line="300" w:lineRule="exact"/>
        <w:rPr>
          <w:rFonts w:hint="eastAsia"/>
          <w:b/>
          <w:color w:val="auto"/>
          <w:sz w:val="18"/>
          <w:szCs w:val="18"/>
        </w:rPr>
      </w:pPr>
    </w:p>
    <w:p w14:paraId="30A37C0A">
      <w:pPr>
        <w:widowControl/>
        <w:snapToGrid w:val="0"/>
        <w:spacing w:line="300" w:lineRule="exact"/>
        <w:rPr>
          <w:color w:val="auto"/>
          <w:sz w:val="18"/>
          <w:szCs w:val="18"/>
        </w:rPr>
      </w:pPr>
      <w:r>
        <w:rPr>
          <w:rFonts w:hint="eastAsia"/>
          <w:b/>
          <w:color w:val="auto"/>
          <w:sz w:val="18"/>
          <w:szCs w:val="18"/>
        </w:rPr>
        <w:t>注：</w:t>
      </w:r>
      <w:r>
        <w:rPr>
          <w:rFonts w:hint="eastAsia" w:ascii="宋体"/>
          <w:b/>
          <w:color w:val="auto"/>
          <w:sz w:val="18"/>
          <w:szCs w:val="18"/>
        </w:rPr>
        <w:t>1、表所填内容应根据投标人实际情况填写。如有漏报的，视同已包含在投标报（总）价内或已作优惠处理。有重大缺项的将作无效标处理。</w:t>
      </w:r>
    </w:p>
    <w:p w14:paraId="7009B9D3">
      <w:pPr>
        <w:snapToGrid w:val="0"/>
        <w:spacing w:before="50" w:after="50"/>
        <w:ind w:right="-1400" w:rightChars="-389" w:firstLine="180" w:firstLineChars="100"/>
        <w:rPr>
          <w:rFonts w:hint="eastAsia" w:eastAsia="宋体"/>
          <w:color w:val="auto"/>
          <w:sz w:val="18"/>
          <w:szCs w:val="18"/>
          <w:lang w:eastAsia="zh-CN"/>
        </w:rPr>
      </w:pPr>
      <w:r>
        <w:rPr>
          <w:rFonts w:hint="eastAsia" w:ascii="宋体" w:hAnsi="宋体" w:eastAsia="宋体" w:cs="宋体"/>
          <w:color w:val="auto"/>
          <w:sz w:val="18"/>
          <w:szCs w:val="18"/>
          <w:lang w:eastAsia="zh-CN"/>
        </w:rPr>
        <w:t>磋商供应商代表（签字或盖章）：</w:t>
      </w:r>
    </w:p>
    <w:p w14:paraId="049C00D7">
      <w:pPr>
        <w:pStyle w:val="13"/>
        <w:spacing w:line="320" w:lineRule="exact"/>
        <w:ind w:right="480" w:firstLine="180" w:firstLineChars="100"/>
        <w:rPr>
          <w:rFonts w:hint="eastAsia" w:hAnsi="宋体" w:eastAsia="宋体" w:cs="宋体"/>
          <w:color w:val="auto"/>
          <w:sz w:val="18"/>
          <w:szCs w:val="18"/>
        </w:rPr>
      </w:pPr>
      <w:r>
        <w:rPr>
          <w:rFonts w:hint="eastAsia" w:hAnsi="宋体" w:eastAsia="宋体"/>
          <w:color w:val="auto"/>
          <w:sz w:val="18"/>
          <w:szCs w:val="18"/>
        </w:rPr>
        <w:t xml:space="preserve">磋商供应商名称（盖章）：                                                           </w:t>
      </w:r>
      <w:r>
        <w:rPr>
          <w:rFonts w:hint="eastAsia" w:hAnsi="宋体" w:eastAsia="宋体" w:cs="宋体"/>
          <w:color w:val="auto"/>
          <w:sz w:val="18"/>
          <w:szCs w:val="18"/>
        </w:rPr>
        <w:t xml:space="preserve">日期：    </w:t>
      </w:r>
    </w:p>
    <w:p w14:paraId="074C392C">
      <w:pPr>
        <w:pStyle w:val="14"/>
        <w:rPr>
          <w:rFonts w:hint="eastAsia" w:hAnsi="宋体" w:eastAsia="宋体" w:cs="宋体"/>
          <w:color w:val="auto"/>
          <w:sz w:val="18"/>
          <w:szCs w:val="18"/>
        </w:rPr>
      </w:pPr>
    </w:p>
    <w:p w14:paraId="62A225ED">
      <w:pPr>
        <w:rPr>
          <w:rFonts w:hint="eastAsia" w:hAnsi="宋体" w:eastAsia="宋体" w:cs="宋体"/>
          <w:color w:val="auto"/>
          <w:sz w:val="18"/>
          <w:szCs w:val="18"/>
        </w:rPr>
      </w:pPr>
    </w:p>
    <w:p w14:paraId="65C7EC94">
      <w:pPr>
        <w:pStyle w:val="33"/>
        <w:rPr>
          <w:rFonts w:hint="eastAsia" w:hAnsi="宋体" w:eastAsia="宋体" w:cs="宋体"/>
          <w:color w:val="auto"/>
          <w:sz w:val="18"/>
          <w:szCs w:val="18"/>
        </w:rPr>
      </w:pPr>
    </w:p>
    <w:p w14:paraId="660B6140">
      <w:pPr>
        <w:pStyle w:val="33"/>
        <w:rPr>
          <w:rFonts w:hint="eastAsia" w:hAnsi="宋体" w:eastAsia="宋体" w:cs="宋体"/>
          <w:color w:val="auto"/>
          <w:sz w:val="18"/>
          <w:szCs w:val="18"/>
        </w:rPr>
      </w:pPr>
    </w:p>
    <w:p w14:paraId="7E19DE1C">
      <w:pPr>
        <w:pStyle w:val="33"/>
        <w:rPr>
          <w:rFonts w:hint="eastAsia" w:hAnsi="宋体" w:eastAsia="宋体" w:cs="宋体"/>
          <w:color w:val="auto"/>
          <w:sz w:val="18"/>
          <w:szCs w:val="18"/>
        </w:rPr>
      </w:pPr>
    </w:p>
    <w:p w14:paraId="0681A09A">
      <w:pPr>
        <w:pStyle w:val="33"/>
        <w:rPr>
          <w:rFonts w:hint="eastAsia" w:hAnsi="宋体" w:eastAsia="宋体" w:cs="宋体"/>
          <w:color w:val="auto"/>
          <w:sz w:val="18"/>
          <w:szCs w:val="18"/>
        </w:rPr>
      </w:pPr>
    </w:p>
    <w:p w14:paraId="6C57700F">
      <w:pPr>
        <w:pStyle w:val="33"/>
        <w:rPr>
          <w:rFonts w:hint="eastAsia" w:hAnsi="宋体" w:eastAsia="宋体" w:cs="宋体"/>
          <w:color w:val="auto"/>
          <w:sz w:val="18"/>
          <w:szCs w:val="18"/>
        </w:rPr>
      </w:pPr>
    </w:p>
    <w:p w14:paraId="2E470C87">
      <w:pPr>
        <w:pStyle w:val="33"/>
        <w:rPr>
          <w:rFonts w:hint="eastAsia" w:hAnsi="宋体" w:eastAsia="宋体" w:cs="宋体"/>
          <w:color w:val="auto"/>
          <w:sz w:val="18"/>
          <w:szCs w:val="18"/>
        </w:rPr>
      </w:pPr>
    </w:p>
    <w:p w14:paraId="4E60C10B">
      <w:pPr>
        <w:pStyle w:val="33"/>
        <w:rPr>
          <w:rFonts w:hint="eastAsia" w:hAnsi="宋体" w:eastAsia="宋体" w:cs="宋体"/>
          <w:color w:val="auto"/>
          <w:sz w:val="18"/>
          <w:szCs w:val="18"/>
        </w:rPr>
      </w:pPr>
    </w:p>
    <w:p w14:paraId="5F549252">
      <w:pPr>
        <w:pStyle w:val="33"/>
        <w:rPr>
          <w:rFonts w:hint="eastAsia" w:hAnsi="宋体" w:eastAsia="宋体" w:cs="宋体"/>
          <w:color w:val="auto"/>
          <w:sz w:val="18"/>
          <w:szCs w:val="18"/>
        </w:rPr>
      </w:pPr>
    </w:p>
    <w:p w14:paraId="46A64DF4">
      <w:pPr>
        <w:pStyle w:val="33"/>
        <w:rPr>
          <w:rFonts w:hint="eastAsia" w:hAnsi="宋体" w:eastAsia="宋体" w:cs="宋体"/>
          <w:color w:val="auto"/>
          <w:sz w:val="18"/>
          <w:szCs w:val="18"/>
        </w:rPr>
      </w:pPr>
    </w:p>
    <w:p w14:paraId="7D84710C">
      <w:pPr>
        <w:pStyle w:val="33"/>
        <w:rPr>
          <w:rFonts w:hint="eastAsia" w:hAnsi="宋体" w:eastAsia="宋体" w:cs="宋体"/>
          <w:color w:val="auto"/>
          <w:sz w:val="18"/>
          <w:szCs w:val="18"/>
        </w:rPr>
      </w:pPr>
    </w:p>
    <w:p w14:paraId="21C97BD2">
      <w:pPr>
        <w:pStyle w:val="33"/>
        <w:rPr>
          <w:rFonts w:hint="eastAsia" w:hAnsi="宋体" w:eastAsia="宋体" w:cs="宋体"/>
          <w:color w:val="auto"/>
          <w:sz w:val="18"/>
          <w:szCs w:val="18"/>
        </w:rPr>
      </w:pPr>
    </w:p>
    <w:p w14:paraId="6472F661">
      <w:pPr>
        <w:pStyle w:val="33"/>
        <w:rPr>
          <w:rFonts w:hint="eastAsia" w:hAnsi="宋体" w:eastAsia="宋体" w:cs="宋体"/>
          <w:color w:val="auto"/>
          <w:sz w:val="18"/>
          <w:szCs w:val="18"/>
        </w:rPr>
      </w:pPr>
    </w:p>
    <w:p w14:paraId="75E6ECB5">
      <w:pPr>
        <w:pStyle w:val="33"/>
        <w:rPr>
          <w:rFonts w:hint="eastAsia" w:hAnsi="宋体" w:eastAsia="宋体" w:cs="宋体"/>
          <w:color w:val="auto"/>
          <w:sz w:val="18"/>
          <w:szCs w:val="18"/>
        </w:rPr>
      </w:pPr>
    </w:p>
    <w:p w14:paraId="010B1164">
      <w:pPr>
        <w:pStyle w:val="33"/>
        <w:rPr>
          <w:rFonts w:hint="eastAsia" w:hAnsi="宋体" w:eastAsia="宋体" w:cs="宋体"/>
          <w:color w:val="auto"/>
          <w:sz w:val="18"/>
          <w:szCs w:val="18"/>
        </w:rPr>
      </w:pPr>
    </w:p>
    <w:p w14:paraId="5D4ED280">
      <w:pPr>
        <w:pStyle w:val="33"/>
        <w:rPr>
          <w:rFonts w:hint="eastAsia" w:hAnsi="宋体" w:eastAsia="宋体" w:cs="宋体"/>
          <w:color w:val="auto"/>
          <w:sz w:val="18"/>
          <w:szCs w:val="18"/>
        </w:rPr>
      </w:pPr>
    </w:p>
    <w:p w14:paraId="781890DA">
      <w:pPr>
        <w:pStyle w:val="33"/>
        <w:rPr>
          <w:rFonts w:hint="eastAsia" w:hAnsi="宋体" w:eastAsia="宋体" w:cs="宋体"/>
          <w:color w:val="auto"/>
          <w:sz w:val="18"/>
          <w:szCs w:val="18"/>
        </w:rPr>
      </w:pPr>
    </w:p>
    <w:p w14:paraId="58F76DD1">
      <w:pPr>
        <w:pStyle w:val="33"/>
        <w:rPr>
          <w:rFonts w:hint="eastAsia" w:hAnsi="宋体" w:eastAsia="宋体" w:cs="宋体"/>
          <w:color w:val="auto"/>
          <w:sz w:val="18"/>
          <w:szCs w:val="18"/>
        </w:rPr>
      </w:pPr>
    </w:p>
    <w:p w14:paraId="7F627418">
      <w:pPr>
        <w:pStyle w:val="33"/>
        <w:rPr>
          <w:rFonts w:hint="eastAsia" w:hAnsi="宋体" w:eastAsia="宋体" w:cs="宋体"/>
          <w:color w:val="auto"/>
          <w:sz w:val="18"/>
          <w:szCs w:val="18"/>
        </w:rPr>
      </w:pPr>
    </w:p>
    <w:p w14:paraId="0551F816">
      <w:pPr>
        <w:pStyle w:val="33"/>
        <w:rPr>
          <w:rFonts w:hint="eastAsia" w:hAnsi="宋体" w:eastAsia="宋体" w:cs="宋体"/>
          <w:color w:val="auto"/>
          <w:sz w:val="18"/>
          <w:szCs w:val="18"/>
        </w:rPr>
      </w:pPr>
    </w:p>
    <w:p w14:paraId="0EDE6881">
      <w:pPr>
        <w:pStyle w:val="33"/>
        <w:rPr>
          <w:rFonts w:hint="eastAsia" w:hAnsi="宋体" w:eastAsia="宋体" w:cs="宋体"/>
          <w:color w:val="auto"/>
          <w:sz w:val="18"/>
          <w:szCs w:val="18"/>
        </w:rPr>
      </w:pPr>
    </w:p>
    <w:p w14:paraId="2F8E6DA6">
      <w:pPr>
        <w:pStyle w:val="33"/>
        <w:rPr>
          <w:rFonts w:hint="eastAsia" w:hAnsi="宋体" w:eastAsia="宋体" w:cs="宋体"/>
          <w:color w:val="auto"/>
          <w:sz w:val="18"/>
          <w:szCs w:val="18"/>
        </w:rPr>
      </w:pPr>
    </w:p>
    <w:tbl>
      <w:tblPr>
        <w:tblStyle w:val="26"/>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
        <w:gridCol w:w="1416"/>
        <w:gridCol w:w="1817"/>
        <w:gridCol w:w="2725"/>
        <w:gridCol w:w="612"/>
        <w:gridCol w:w="916"/>
        <w:gridCol w:w="843"/>
        <w:gridCol w:w="908"/>
        <w:gridCol w:w="942"/>
        <w:gridCol w:w="968"/>
        <w:gridCol w:w="914"/>
        <w:gridCol w:w="955"/>
        <w:gridCol w:w="678"/>
      </w:tblGrid>
      <w:tr w14:paraId="1A5A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4100" w:type="dxa"/>
            <w:gridSpan w:val="13"/>
            <w:tcBorders>
              <w:top w:val="nil"/>
              <w:left w:val="nil"/>
              <w:bottom w:val="nil"/>
              <w:right w:val="nil"/>
            </w:tcBorders>
            <w:shd w:val="clear" w:color="auto" w:fill="FFFFFF"/>
            <w:vAlign w:val="center"/>
          </w:tcPr>
          <w:p w14:paraId="5DF6267B">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施工技术措施项目</w:t>
            </w:r>
            <w:r>
              <w:rPr>
                <w:rFonts w:hint="eastAsia" w:ascii="黑体" w:hAnsi="宋体" w:eastAsia="黑体" w:cs="黑体"/>
                <w:b/>
                <w:bCs/>
                <w:i w:val="0"/>
                <w:iCs w:val="0"/>
                <w:color w:val="auto"/>
                <w:kern w:val="0"/>
                <w:sz w:val="36"/>
                <w:szCs w:val="36"/>
                <w:u w:val="none"/>
                <w:lang w:val="en-US" w:eastAsia="zh-CN" w:bidi="ar"/>
              </w:rPr>
              <w:t>清单与报价表</w:t>
            </w:r>
          </w:p>
        </w:tc>
      </w:tr>
      <w:tr w14:paraId="16F3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735" w:type="dxa"/>
            <w:gridSpan w:val="7"/>
            <w:tcBorders>
              <w:top w:val="nil"/>
              <w:left w:val="nil"/>
              <w:bottom w:val="nil"/>
              <w:right w:val="nil"/>
            </w:tcBorders>
            <w:shd w:val="clear" w:color="auto" w:fill="FFFFFF"/>
            <w:vAlign w:val="bottom"/>
          </w:tcPr>
          <w:p w14:paraId="20568DB1">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w:t>
            </w:r>
            <w:r>
              <w:rPr>
                <w:rFonts w:hint="eastAsia" w:ascii="宋体" w:hAnsi="宋体" w:eastAsia="宋体" w:cs="宋体"/>
                <w:i w:val="0"/>
                <w:iCs w:val="0"/>
                <w:color w:val="auto"/>
                <w:kern w:val="0"/>
                <w:sz w:val="20"/>
                <w:szCs w:val="20"/>
                <w:u w:val="none"/>
                <w:lang w:val="en-US" w:eastAsia="zh-CN" w:bidi="ar"/>
              </w:rPr>
              <w:t>北城办事处改造工程-房屋建筑与装饰</w:t>
            </w:r>
          </w:p>
        </w:tc>
        <w:tc>
          <w:tcPr>
            <w:tcW w:w="908" w:type="dxa"/>
            <w:tcBorders>
              <w:top w:val="nil"/>
              <w:left w:val="nil"/>
              <w:bottom w:val="nil"/>
              <w:right w:val="nil"/>
            </w:tcBorders>
            <w:shd w:val="clear" w:color="auto" w:fill="FFFFFF"/>
            <w:vAlign w:val="center"/>
          </w:tcPr>
          <w:p w14:paraId="6AF5E8A6">
            <w:pPr>
              <w:jc w:val="left"/>
              <w:rPr>
                <w:rFonts w:hint="eastAsia" w:ascii="宋体" w:hAnsi="宋体" w:eastAsia="宋体" w:cs="宋体"/>
                <w:i w:val="0"/>
                <w:iCs w:val="0"/>
                <w:color w:val="auto"/>
                <w:sz w:val="24"/>
                <w:szCs w:val="24"/>
                <w:u w:val="none"/>
              </w:rPr>
            </w:pPr>
          </w:p>
        </w:tc>
        <w:tc>
          <w:tcPr>
            <w:tcW w:w="942" w:type="dxa"/>
            <w:tcBorders>
              <w:top w:val="nil"/>
              <w:left w:val="nil"/>
              <w:bottom w:val="nil"/>
              <w:right w:val="nil"/>
            </w:tcBorders>
            <w:shd w:val="clear" w:color="auto" w:fill="FFFFFF"/>
            <w:vAlign w:val="center"/>
          </w:tcPr>
          <w:p w14:paraId="50FAD0E0">
            <w:pPr>
              <w:jc w:val="center"/>
              <w:rPr>
                <w:rFonts w:hint="eastAsia" w:ascii="宋体" w:hAnsi="宋体" w:eastAsia="宋体" w:cs="宋体"/>
                <w:i w:val="0"/>
                <w:iCs w:val="0"/>
                <w:color w:val="auto"/>
                <w:sz w:val="18"/>
                <w:szCs w:val="18"/>
                <w:u w:val="none"/>
              </w:rPr>
            </w:pPr>
          </w:p>
        </w:tc>
        <w:tc>
          <w:tcPr>
            <w:tcW w:w="968" w:type="dxa"/>
            <w:tcBorders>
              <w:top w:val="nil"/>
              <w:left w:val="nil"/>
              <w:bottom w:val="nil"/>
              <w:right w:val="nil"/>
            </w:tcBorders>
            <w:shd w:val="clear" w:color="auto" w:fill="FFFFFF"/>
            <w:vAlign w:val="center"/>
          </w:tcPr>
          <w:p w14:paraId="120EE8A2">
            <w:pPr>
              <w:jc w:val="left"/>
              <w:rPr>
                <w:rFonts w:hint="eastAsia" w:ascii="宋体" w:hAnsi="宋体" w:eastAsia="宋体" w:cs="宋体"/>
                <w:i w:val="0"/>
                <w:iCs w:val="0"/>
                <w:color w:val="auto"/>
                <w:sz w:val="18"/>
                <w:szCs w:val="18"/>
                <w:u w:val="none"/>
              </w:rPr>
            </w:pPr>
          </w:p>
        </w:tc>
        <w:tc>
          <w:tcPr>
            <w:tcW w:w="2547" w:type="dxa"/>
            <w:gridSpan w:val="3"/>
            <w:tcBorders>
              <w:top w:val="nil"/>
              <w:left w:val="nil"/>
              <w:bottom w:val="nil"/>
              <w:right w:val="nil"/>
            </w:tcBorders>
            <w:shd w:val="clear" w:color="auto" w:fill="FFFFFF"/>
            <w:vAlign w:val="bottom"/>
          </w:tcPr>
          <w:p w14:paraId="3A06C4D2">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p>
        </w:tc>
      </w:tr>
      <w:tr w14:paraId="397B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F1BB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25AD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1D7B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B5C1D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F755A">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6BBD1B8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ABC8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C5E6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综合单价</w:t>
            </w:r>
          </w:p>
          <w:p w14:paraId="5273093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711A0">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合价</w:t>
            </w:r>
          </w:p>
          <w:p w14:paraId="0E56C85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37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1F5D5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其中(元)</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7CEC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6568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C7AFB">
            <w:pPr>
              <w:jc w:val="center"/>
              <w:rPr>
                <w:rFonts w:hint="eastAsia" w:ascii="宋体" w:hAnsi="宋体" w:eastAsia="宋体" w:cs="宋体"/>
                <w:b/>
                <w:bCs/>
                <w:i w:val="0"/>
                <w:iCs w:val="0"/>
                <w:color w:val="auto"/>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15DA6">
            <w:pPr>
              <w:jc w:val="center"/>
              <w:rPr>
                <w:rFonts w:hint="eastAsia" w:ascii="宋体" w:hAnsi="宋体" w:eastAsia="宋体" w:cs="宋体"/>
                <w:b/>
                <w:bCs/>
                <w:i w:val="0"/>
                <w:iCs w:val="0"/>
                <w:color w:val="auto"/>
                <w:sz w:val="18"/>
                <w:szCs w:val="18"/>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204A6">
            <w:pPr>
              <w:jc w:val="center"/>
              <w:rPr>
                <w:rFonts w:hint="eastAsia" w:ascii="宋体" w:hAnsi="宋体" w:eastAsia="宋体" w:cs="宋体"/>
                <w:b/>
                <w:bCs/>
                <w:i w:val="0"/>
                <w:iCs w:val="0"/>
                <w:color w:val="auto"/>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CDFEC">
            <w:pPr>
              <w:jc w:val="center"/>
              <w:rPr>
                <w:rFonts w:hint="eastAsia" w:ascii="宋体" w:hAnsi="宋体" w:eastAsia="宋体" w:cs="宋体"/>
                <w:b/>
                <w:bCs/>
                <w:i w:val="0"/>
                <w:iCs w:val="0"/>
                <w:color w:val="auto"/>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FF350">
            <w:pPr>
              <w:jc w:val="center"/>
              <w:rPr>
                <w:rFonts w:hint="eastAsia" w:ascii="宋体" w:hAnsi="宋体" w:eastAsia="宋体" w:cs="宋体"/>
                <w:b/>
                <w:bCs/>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A9FF4">
            <w:pPr>
              <w:jc w:val="center"/>
              <w:rPr>
                <w:rFonts w:hint="eastAsia" w:ascii="宋体" w:hAnsi="宋体" w:eastAsia="宋体" w:cs="宋体"/>
                <w:b/>
                <w:bCs/>
                <w:i w:val="0"/>
                <w:iCs w:val="0"/>
                <w:color w:val="auto"/>
                <w:sz w:val="18"/>
                <w:szCs w:val="18"/>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5DB28">
            <w:pPr>
              <w:jc w:val="center"/>
              <w:rPr>
                <w:rFonts w:hint="eastAsia" w:ascii="宋体" w:hAnsi="宋体" w:eastAsia="宋体" w:cs="宋体"/>
                <w:b/>
                <w:bCs/>
                <w:i w:val="0"/>
                <w:iCs w:val="0"/>
                <w:color w:val="auto"/>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96F6F">
            <w:pPr>
              <w:jc w:val="center"/>
              <w:rPr>
                <w:rFonts w:hint="eastAsia" w:ascii="宋体" w:hAnsi="宋体" w:eastAsia="宋体" w:cs="宋体"/>
                <w:b/>
                <w:bCs/>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4CB5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投标人工费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105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人工费价差</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B5C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投标机械费</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82EA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机械费价差</w:t>
            </w: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7C6D9">
            <w:pPr>
              <w:jc w:val="center"/>
              <w:rPr>
                <w:rFonts w:hint="eastAsia" w:ascii="宋体" w:hAnsi="宋体" w:eastAsia="宋体" w:cs="宋体"/>
                <w:b/>
                <w:bCs/>
                <w:i w:val="0"/>
                <w:iCs w:val="0"/>
                <w:color w:val="auto"/>
                <w:sz w:val="18"/>
                <w:szCs w:val="18"/>
                <w:u w:val="none"/>
              </w:rPr>
            </w:pPr>
          </w:p>
        </w:tc>
      </w:tr>
      <w:tr w14:paraId="5F7C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757C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878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011701006001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F3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满堂脚手架</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5F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1、满堂脚手架基本层3.6m～5.2m~单独装饰或二次装饰工程。</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82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28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3408.16</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22FFA">
            <w:pPr>
              <w:jc w:val="center"/>
              <w:rPr>
                <w:rFonts w:hint="eastAsia" w:ascii="Arial" w:hAnsi="Arial" w:eastAsia="宋体" w:cs="Arial"/>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13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nil"/>
            </w:tcBorders>
            <w:shd w:val="clear" w:color="auto" w:fill="FFFFFF"/>
            <w:vAlign w:val="center"/>
          </w:tcPr>
          <w:p w14:paraId="257DAF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23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B7E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78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CF03">
            <w:pPr>
              <w:jc w:val="left"/>
              <w:rPr>
                <w:rFonts w:hint="eastAsia" w:ascii="宋体" w:hAnsi="宋体" w:eastAsia="宋体" w:cs="宋体"/>
                <w:i w:val="0"/>
                <w:iCs w:val="0"/>
                <w:color w:val="auto"/>
                <w:sz w:val="18"/>
                <w:szCs w:val="18"/>
                <w:u w:val="none"/>
              </w:rPr>
            </w:pPr>
          </w:p>
        </w:tc>
      </w:tr>
      <w:tr w14:paraId="76C5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A48B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6B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011701003001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67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里脚手架</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8BB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1、内墙脚手架高度3.6m以内~单独装饰或二次装饰工程。</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244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BCD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2693.16</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EB98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16F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0F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5713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A106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58DA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03B7">
            <w:pPr>
              <w:jc w:val="right"/>
              <w:rPr>
                <w:rFonts w:hint="eastAsia" w:ascii="宋体" w:hAnsi="宋体" w:eastAsia="宋体" w:cs="宋体"/>
                <w:i w:val="0"/>
                <w:iCs w:val="0"/>
                <w:color w:val="auto"/>
                <w:sz w:val="18"/>
                <w:szCs w:val="18"/>
                <w:u w:val="none"/>
              </w:rPr>
            </w:pPr>
          </w:p>
        </w:tc>
      </w:tr>
      <w:tr w14:paraId="319C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46D5">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0A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011701003002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9D9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C2F8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1、内墙脚手架高度3.6m以上~单独装饰或二次装饰工程。</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F50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5F3F">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926.36</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094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F9D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B70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828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C72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DBB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5A33">
            <w:pPr>
              <w:jc w:val="right"/>
              <w:rPr>
                <w:rFonts w:hint="eastAsia" w:ascii="宋体" w:hAnsi="宋体" w:eastAsia="宋体" w:cs="宋体"/>
                <w:i w:val="0"/>
                <w:iCs w:val="0"/>
                <w:color w:val="auto"/>
                <w:sz w:val="18"/>
                <w:szCs w:val="18"/>
                <w:u w:val="none"/>
              </w:rPr>
            </w:pPr>
          </w:p>
        </w:tc>
      </w:tr>
      <w:tr w14:paraId="375D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7339">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99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011703001001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6A5B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垂直运输</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ECB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1、垂直运输费，建筑物檐高30m以内，建筑物垂直运输机械不采用塔吊 ，整体系数*0.2。</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DC9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38FD">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4222.5</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76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8CF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C9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6E9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56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F82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EF62C">
            <w:pPr>
              <w:jc w:val="right"/>
              <w:rPr>
                <w:rFonts w:hint="eastAsia" w:ascii="宋体" w:hAnsi="宋体" w:eastAsia="宋体" w:cs="宋体"/>
                <w:i w:val="0"/>
                <w:iCs w:val="0"/>
                <w:color w:val="auto"/>
                <w:sz w:val="18"/>
                <w:szCs w:val="18"/>
                <w:u w:val="none"/>
              </w:rPr>
            </w:pPr>
          </w:p>
        </w:tc>
      </w:tr>
      <w:tr w14:paraId="244A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52E2">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5A8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011701002001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0E3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外脚手架</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1DCA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单项脚手架 外墙脚手架 高度20m以内</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23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B6878">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2392.37</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B2F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640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CD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8C6B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B7C2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6C0A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E321">
            <w:pPr>
              <w:jc w:val="right"/>
              <w:rPr>
                <w:rFonts w:hint="eastAsia" w:ascii="宋体" w:hAnsi="宋体" w:eastAsia="宋体" w:cs="宋体"/>
                <w:i w:val="0"/>
                <w:iCs w:val="0"/>
                <w:color w:val="auto"/>
                <w:sz w:val="18"/>
                <w:szCs w:val="18"/>
                <w:u w:val="none"/>
              </w:rPr>
            </w:pPr>
          </w:p>
        </w:tc>
      </w:tr>
      <w:tr w14:paraId="5103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D4E0">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013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011701002002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346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外脚手架</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2BA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单项脚手架 外墙脚手架 高度13m以内</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5E32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A6A1">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1437.2</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E80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349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7EC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B63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A60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1E5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3763">
            <w:pPr>
              <w:jc w:val="right"/>
              <w:rPr>
                <w:rFonts w:hint="eastAsia" w:ascii="宋体" w:hAnsi="宋体" w:eastAsia="宋体" w:cs="宋体"/>
                <w:i w:val="0"/>
                <w:iCs w:val="0"/>
                <w:color w:val="auto"/>
                <w:sz w:val="18"/>
                <w:szCs w:val="18"/>
                <w:u w:val="none"/>
              </w:rPr>
            </w:pPr>
          </w:p>
        </w:tc>
      </w:tr>
      <w:tr w14:paraId="7177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73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08B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   计</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13C5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24C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8711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BEA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529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8D4C">
            <w:pPr>
              <w:jc w:val="left"/>
              <w:rPr>
                <w:rFonts w:hint="eastAsia" w:ascii="宋体" w:hAnsi="宋体" w:eastAsia="宋体" w:cs="宋体"/>
                <w:i w:val="0"/>
                <w:iCs w:val="0"/>
                <w:color w:val="auto"/>
                <w:sz w:val="18"/>
                <w:szCs w:val="18"/>
                <w:u w:val="none"/>
              </w:rPr>
            </w:pPr>
          </w:p>
        </w:tc>
      </w:tr>
    </w:tbl>
    <w:p w14:paraId="5E53037D">
      <w:pPr>
        <w:widowControl/>
        <w:snapToGrid w:val="0"/>
        <w:spacing w:line="300" w:lineRule="exact"/>
        <w:rPr>
          <w:color w:val="auto"/>
          <w:sz w:val="18"/>
          <w:szCs w:val="18"/>
        </w:rPr>
      </w:pPr>
      <w:r>
        <w:rPr>
          <w:rFonts w:hint="eastAsia"/>
          <w:b/>
          <w:color w:val="auto"/>
          <w:sz w:val="18"/>
          <w:szCs w:val="18"/>
        </w:rPr>
        <w:t>注：</w:t>
      </w:r>
      <w:r>
        <w:rPr>
          <w:rFonts w:hint="eastAsia" w:ascii="宋体"/>
          <w:b/>
          <w:color w:val="auto"/>
          <w:sz w:val="18"/>
          <w:szCs w:val="18"/>
        </w:rPr>
        <w:t>1、表所填内容应根据投标人实际情况填写。如有漏报的，视同已包含在投标报（总）价内或已作优惠处理。有重大缺项的将作无效标处理。</w:t>
      </w:r>
    </w:p>
    <w:p w14:paraId="1AFFF839">
      <w:pPr>
        <w:snapToGrid w:val="0"/>
        <w:spacing w:before="50" w:after="50"/>
        <w:ind w:right="-1400" w:rightChars="-389"/>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磋商供应商代表（签字或盖章）：</w:t>
      </w:r>
    </w:p>
    <w:p w14:paraId="6E6DB904">
      <w:pPr>
        <w:snapToGrid w:val="0"/>
        <w:spacing w:before="50" w:after="50"/>
        <w:ind w:right="-1400" w:rightChars="-389"/>
        <w:rPr>
          <w:rFonts w:ascii="宋体" w:hAnsi="宋体" w:eastAsia="宋体" w:cs="宋体"/>
          <w:color w:val="auto"/>
          <w:sz w:val="18"/>
          <w:szCs w:val="18"/>
        </w:rPr>
      </w:pPr>
      <w:r>
        <w:rPr>
          <w:rFonts w:hint="eastAsia" w:hAnsi="宋体" w:eastAsia="宋体"/>
          <w:color w:val="auto"/>
          <w:sz w:val="18"/>
          <w:szCs w:val="18"/>
        </w:rPr>
        <w:t xml:space="preserve">磋商供应商名称（盖章）：                                                     </w:t>
      </w:r>
      <w:r>
        <w:rPr>
          <w:rFonts w:hint="eastAsia" w:hAnsi="宋体" w:eastAsia="宋体" w:cs="宋体"/>
          <w:color w:val="auto"/>
          <w:sz w:val="18"/>
          <w:szCs w:val="18"/>
        </w:rPr>
        <w:t xml:space="preserve">日期：   </w:t>
      </w:r>
    </w:p>
    <w:p w14:paraId="1E25EE36">
      <w:pPr>
        <w:pStyle w:val="25"/>
        <w:rPr>
          <w:rFonts w:ascii="宋体" w:hAnsi="宋体" w:eastAsia="宋体" w:cs="宋体"/>
          <w:color w:val="auto"/>
          <w:sz w:val="18"/>
          <w:szCs w:val="18"/>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26"/>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2998"/>
        <w:gridCol w:w="2487"/>
        <w:gridCol w:w="1680"/>
        <w:gridCol w:w="1112"/>
      </w:tblGrid>
      <w:tr w14:paraId="4753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9080" w:type="dxa"/>
            <w:gridSpan w:val="5"/>
            <w:tcBorders>
              <w:top w:val="nil"/>
              <w:left w:val="nil"/>
              <w:bottom w:val="nil"/>
              <w:right w:val="nil"/>
            </w:tcBorders>
            <w:shd w:val="clear" w:color="auto" w:fill="FFFFFF"/>
            <w:vAlign w:val="center"/>
          </w:tcPr>
          <w:p w14:paraId="6A0F91CD">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施工组织措施项目</w:t>
            </w:r>
            <w:r>
              <w:rPr>
                <w:rFonts w:hint="eastAsia" w:ascii="黑体" w:hAnsi="宋体" w:eastAsia="黑体" w:cs="黑体"/>
                <w:b/>
                <w:bCs/>
                <w:i w:val="0"/>
                <w:iCs w:val="0"/>
                <w:color w:val="auto"/>
                <w:kern w:val="0"/>
                <w:sz w:val="36"/>
                <w:szCs w:val="36"/>
                <w:u w:val="none"/>
                <w:lang w:val="en-US" w:eastAsia="zh-CN" w:bidi="ar"/>
              </w:rPr>
              <w:t>清单与报价表</w:t>
            </w:r>
          </w:p>
        </w:tc>
      </w:tr>
      <w:tr w14:paraId="5DC0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288" w:type="dxa"/>
            <w:gridSpan w:val="3"/>
            <w:tcBorders>
              <w:top w:val="nil"/>
              <w:left w:val="nil"/>
              <w:bottom w:val="nil"/>
              <w:right w:val="nil"/>
            </w:tcBorders>
            <w:shd w:val="clear" w:color="auto" w:fill="FFFFFF"/>
            <w:vAlign w:val="bottom"/>
          </w:tcPr>
          <w:p w14:paraId="62392E80">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单位工程（专业）：北城办事处改造工程-房屋建筑与装饰</w:t>
            </w:r>
          </w:p>
        </w:tc>
        <w:tc>
          <w:tcPr>
            <w:tcW w:w="2792" w:type="dxa"/>
            <w:gridSpan w:val="2"/>
            <w:tcBorders>
              <w:top w:val="nil"/>
              <w:left w:val="nil"/>
              <w:bottom w:val="nil"/>
              <w:right w:val="nil"/>
            </w:tcBorders>
            <w:shd w:val="clear" w:color="auto" w:fill="FFFFFF"/>
            <w:vAlign w:val="bottom"/>
          </w:tcPr>
          <w:p w14:paraId="3C25C5FF">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14:paraId="09F8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32D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3B2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94F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计算基础</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49BA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费率(%)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1212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金额(元)</w:t>
            </w:r>
          </w:p>
        </w:tc>
      </w:tr>
      <w:tr w14:paraId="328C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F80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A137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安全文明施工费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C5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1C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E95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0A8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044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28C9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提前竣工增加费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31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5E09">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7420">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77B9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949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68D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二次搬运费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96C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3E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A7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4626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94F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206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冬雨季施工增加费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2E1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DF2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D5B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31E6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E8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E10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行车、行人干扰增加费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2F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CACBF">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0C64C">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6546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A8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97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其他施工组织措施费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47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975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F72E8">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0868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E9AD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724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bl>
    <w:p w14:paraId="2B88AAC7">
      <w:pPr>
        <w:widowControl/>
        <w:snapToGrid w:val="0"/>
        <w:spacing w:line="300" w:lineRule="exact"/>
        <w:rPr>
          <w:rFonts w:hAnsi="宋体" w:eastAsia="宋体"/>
          <w:color w:val="auto"/>
          <w:sz w:val="24"/>
        </w:rPr>
      </w:pPr>
      <w:r>
        <w:rPr>
          <w:rFonts w:hint="eastAsia"/>
          <w:b/>
          <w:color w:val="auto"/>
          <w:sz w:val="24"/>
        </w:rPr>
        <w:t>注：</w:t>
      </w:r>
      <w:r>
        <w:rPr>
          <w:rFonts w:hint="eastAsia" w:ascii="宋体"/>
          <w:b/>
          <w:color w:val="auto"/>
          <w:sz w:val="24"/>
        </w:rPr>
        <w:t>1、表所填内容应根据投标人实际情况填写。如有漏报的，视同已包含在投标报（总）价内或已作优惠处理。有重大缺项的将作无效标处理。</w:t>
      </w:r>
    </w:p>
    <w:p w14:paraId="22A9D3D2">
      <w:pPr>
        <w:snapToGrid w:val="0"/>
        <w:spacing w:before="50" w:after="50"/>
        <w:ind w:right="-1400" w:rightChars="-389"/>
        <w:rPr>
          <w:rFonts w:hint="eastAsia" w:eastAsia="宋体"/>
          <w:color w:val="auto"/>
          <w:lang w:eastAsia="zh-CN"/>
        </w:rPr>
      </w:pPr>
      <w:r>
        <w:rPr>
          <w:rFonts w:hint="eastAsia" w:ascii="宋体" w:hAnsi="宋体" w:eastAsia="宋体" w:cs="宋体"/>
          <w:color w:val="auto"/>
          <w:sz w:val="24"/>
          <w:lang w:eastAsia="zh-CN"/>
        </w:rPr>
        <w:t>磋商供应商代表（签字或盖章）：</w:t>
      </w:r>
    </w:p>
    <w:p w14:paraId="3BBA8DEE">
      <w:pPr>
        <w:pStyle w:val="3"/>
        <w:ind w:left="0" w:leftChars="0" w:firstLine="0" w:firstLineChars="0"/>
        <w:rPr>
          <w:rFonts w:hint="eastAsia" w:ascii="宋体" w:hAnsi="宋体" w:eastAsia="宋体" w:cs="宋体"/>
          <w:color w:val="auto"/>
          <w:sz w:val="24"/>
          <w:szCs w:val="24"/>
        </w:rPr>
      </w:pPr>
      <w:r>
        <w:rPr>
          <w:rFonts w:hint="eastAsia" w:hAnsi="宋体" w:eastAsia="宋体"/>
          <w:color w:val="auto"/>
          <w:sz w:val="24"/>
        </w:rPr>
        <w:t xml:space="preserve">磋商供应商名称（盖章）：                                </w:t>
      </w:r>
      <w:r>
        <w:rPr>
          <w:rFonts w:hint="eastAsia" w:ascii="宋体" w:hAnsi="宋体" w:eastAsia="宋体" w:cs="宋体"/>
          <w:color w:val="auto"/>
          <w:sz w:val="24"/>
          <w:szCs w:val="24"/>
        </w:rPr>
        <w:t xml:space="preserve">日期：    </w:t>
      </w:r>
    </w:p>
    <w:p w14:paraId="3974185D">
      <w:pPr>
        <w:pStyle w:val="25"/>
        <w:rPr>
          <w:rFonts w:hint="eastAsia" w:ascii="宋体" w:hAnsi="宋体" w:eastAsia="宋体" w:cs="宋体"/>
          <w:color w:val="auto"/>
          <w:sz w:val="24"/>
          <w:szCs w:val="24"/>
        </w:rPr>
      </w:pPr>
    </w:p>
    <w:p w14:paraId="409E9A51">
      <w:pPr>
        <w:pStyle w:val="12"/>
        <w:rPr>
          <w:rFonts w:hint="eastAsia" w:ascii="宋体" w:hAnsi="宋体" w:eastAsia="宋体" w:cs="宋体"/>
          <w:color w:val="auto"/>
          <w:sz w:val="24"/>
          <w:szCs w:val="24"/>
        </w:rPr>
      </w:pPr>
    </w:p>
    <w:p w14:paraId="0DA95AD8">
      <w:pPr>
        <w:pStyle w:val="12"/>
        <w:rPr>
          <w:rFonts w:hint="eastAsia" w:ascii="宋体" w:hAnsi="宋体" w:eastAsia="宋体" w:cs="宋体"/>
          <w:color w:val="auto"/>
          <w:sz w:val="24"/>
          <w:szCs w:val="24"/>
        </w:rPr>
      </w:pPr>
    </w:p>
    <w:p w14:paraId="452501A6">
      <w:pPr>
        <w:pStyle w:val="12"/>
        <w:rPr>
          <w:rFonts w:hint="eastAsia" w:ascii="宋体" w:hAnsi="宋体" w:eastAsia="宋体" w:cs="宋体"/>
          <w:color w:val="auto"/>
          <w:sz w:val="24"/>
          <w:szCs w:val="24"/>
        </w:rPr>
      </w:pPr>
    </w:p>
    <w:p w14:paraId="6F11C9EB">
      <w:pPr>
        <w:pStyle w:val="12"/>
        <w:rPr>
          <w:rFonts w:hint="eastAsia" w:ascii="宋体" w:hAnsi="宋体" w:eastAsia="宋体" w:cs="宋体"/>
          <w:color w:val="auto"/>
          <w:sz w:val="24"/>
          <w:szCs w:val="24"/>
        </w:rPr>
      </w:pPr>
    </w:p>
    <w:p w14:paraId="5ABB3A15">
      <w:pPr>
        <w:pStyle w:val="12"/>
        <w:rPr>
          <w:rFonts w:hint="eastAsia" w:ascii="宋体" w:hAnsi="宋体" w:eastAsia="宋体" w:cs="宋体"/>
          <w:color w:val="auto"/>
          <w:sz w:val="24"/>
          <w:szCs w:val="24"/>
        </w:rPr>
      </w:pPr>
    </w:p>
    <w:p w14:paraId="40A8A07B">
      <w:pPr>
        <w:pStyle w:val="12"/>
        <w:rPr>
          <w:rFonts w:hint="eastAsia" w:ascii="宋体" w:hAnsi="宋体" w:eastAsia="宋体" w:cs="宋体"/>
          <w:color w:val="auto"/>
          <w:sz w:val="24"/>
          <w:szCs w:val="24"/>
        </w:rPr>
      </w:pPr>
    </w:p>
    <w:p w14:paraId="61E074F9">
      <w:pPr>
        <w:pStyle w:val="12"/>
        <w:rPr>
          <w:rFonts w:hint="eastAsia" w:ascii="宋体" w:hAnsi="宋体" w:eastAsia="宋体" w:cs="宋体"/>
          <w:color w:val="auto"/>
          <w:sz w:val="24"/>
          <w:szCs w:val="24"/>
        </w:rPr>
      </w:pPr>
    </w:p>
    <w:p w14:paraId="11B1E3C2">
      <w:pPr>
        <w:pStyle w:val="12"/>
        <w:rPr>
          <w:rFonts w:hint="eastAsia" w:ascii="宋体" w:hAnsi="宋体" w:eastAsia="宋体" w:cs="宋体"/>
          <w:color w:val="auto"/>
          <w:sz w:val="24"/>
          <w:szCs w:val="24"/>
        </w:rPr>
      </w:pPr>
    </w:p>
    <w:p w14:paraId="00C6152B">
      <w:pPr>
        <w:pStyle w:val="12"/>
        <w:rPr>
          <w:rFonts w:hint="eastAsia" w:ascii="宋体" w:hAnsi="宋体" w:eastAsia="宋体" w:cs="宋体"/>
          <w:color w:val="auto"/>
          <w:sz w:val="24"/>
          <w:szCs w:val="24"/>
        </w:rPr>
      </w:pPr>
    </w:p>
    <w:p w14:paraId="598D9247">
      <w:pPr>
        <w:pStyle w:val="12"/>
        <w:rPr>
          <w:rFonts w:hint="eastAsia" w:ascii="宋体" w:hAnsi="宋体" w:eastAsia="宋体" w:cs="宋体"/>
          <w:color w:val="auto"/>
          <w:sz w:val="24"/>
          <w:szCs w:val="24"/>
        </w:rPr>
      </w:pPr>
    </w:p>
    <w:p w14:paraId="456B1402">
      <w:pPr>
        <w:spacing w:line="450" w:lineRule="atLeast"/>
        <w:rPr>
          <w:rFonts w:hint="eastAsia" w:hAnsi="宋体" w:eastAsia="宋体" w:cs="宋体"/>
          <w:color w:val="auto"/>
          <w:sz w:val="24"/>
          <w:szCs w:val="24"/>
        </w:rPr>
      </w:pPr>
    </w:p>
    <w:p w14:paraId="354E5B99">
      <w:pPr>
        <w:spacing w:line="450" w:lineRule="atLeast"/>
        <w:rPr>
          <w:rFonts w:hint="eastAsia" w:ascii="宋体" w:hAnsi="宋体" w:eastAsia="宋体" w:cs="宋体"/>
          <w:b/>
          <w:color w:val="auto"/>
          <w:sz w:val="24"/>
        </w:rPr>
      </w:pPr>
    </w:p>
    <w:p w14:paraId="78BAF672">
      <w:pPr>
        <w:spacing w:line="450" w:lineRule="atLeast"/>
        <w:rPr>
          <w:rFonts w:hint="eastAsia" w:ascii="宋体" w:hAnsi="宋体" w:eastAsia="宋体" w:cs="宋体"/>
          <w:b/>
          <w:color w:val="auto"/>
          <w:sz w:val="24"/>
        </w:rPr>
      </w:pPr>
    </w:p>
    <w:tbl>
      <w:tblPr>
        <w:tblStyle w:val="26"/>
        <w:tblW w:w="97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2760"/>
        <w:gridCol w:w="3270"/>
        <w:gridCol w:w="2715"/>
      </w:tblGrid>
      <w:tr w14:paraId="1722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18" w:type="dxa"/>
            <w:gridSpan w:val="4"/>
            <w:tcBorders>
              <w:top w:val="nil"/>
              <w:left w:val="nil"/>
              <w:bottom w:val="nil"/>
              <w:right w:val="nil"/>
            </w:tcBorders>
            <w:shd w:val="clear" w:color="FFFFFF" w:fill="FFFFFF"/>
            <w:vAlign w:val="center"/>
          </w:tcPr>
          <w:p w14:paraId="1229D093">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default" w:ascii="黑体" w:hAnsi="宋体" w:eastAsia="黑体" w:cs="黑体"/>
                <w:b/>
                <w:bCs/>
                <w:i w:val="0"/>
                <w:iCs w:val="0"/>
                <w:color w:val="auto"/>
                <w:kern w:val="0"/>
                <w:sz w:val="44"/>
                <w:szCs w:val="44"/>
                <w:u w:val="none"/>
                <w:lang w:val="en-US" w:eastAsia="zh-CN" w:bidi="ar"/>
              </w:rPr>
              <w:t>专业工程</w:t>
            </w:r>
            <w:r>
              <w:rPr>
                <w:rFonts w:hint="eastAsia" w:ascii="黑体" w:hAnsi="宋体" w:eastAsia="黑体" w:cs="黑体"/>
                <w:b/>
                <w:bCs/>
                <w:i w:val="0"/>
                <w:iCs w:val="0"/>
                <w:color w:val="auto"/>
                <w:kern w:val="0"/>
                <w:sz w:val="44"/>
                <w:szCs w:val="44"/>
                <w:u w:val="none"/>
                <w:lang w:val="en-US" w:eastAsia="zh-CN" w:bidi="ar"/>
              </w:rPr>
              <w:t>投标报价计算程序</w:t>
            </w:r>
            <w:r>
              <w:rPr>
                <w:rFonts w:hint="default" w:ascii="黑体" w:hAnsi="宋体" w:eastAsia="黑体" w:cs="黑体"/>
                <w:b/>
                <w:bCs/>
                <w:i w:val="0"/>
                <w:iCs w:val="0"/>
                <w:color w:val="auto"/>
                <w:kern w:val="0"/>
                <w:sz w:val="44"/>
                <w:szCs w:val="44"/>
                <w:u w:val="none"/>
                <w:lang w:val="en-US" w:eastAsia="zh-CN" w:bidi="ar"/>
              </w:rPr>
              <w:t>表</w:t>
            </w:r>
          </w:p>
        </w:tc>
      </w:tr>
      <w:tr w14:paraId="7790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003" w:type="dxa"/>
            <w:gridSpan w:val="3"/>
            <w:tcBorders>
              <w:top w:val="nil"/>
              <w:left w:val="nil"/>
              <w:bottom w:val="nil"/>
              <w:right w:val="nil"/>
            </w:tcBorders>
            <w:shd w:val="clear" w:color="FFFFFF" w:fill="FFFFFF"/>
            <w:vAlign w:val="bottom"/>
          </w:tcPr>
          <w:p w14:paraId="5C6B2810">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单位工程（专业）：北城办事处改造工程-通用安装工程</w:t>
            </w:r>
          </w:p>
        </w:tc>
        <w:tc>
          <w:tcPr>
            <w:tcW w:w="2715" w:type="dxa"/>
            <w:tcBorders>
              <w:top w:val="nil"/>
              <w:left w:val="nil"/>
              <w:bottom w:val="nil"/>
              <w:right w:val="nil"/>
            </w:tcBorders>
            <w:shd w:val="clear" w:color="FFFFFF" w:fill="FFFFFF"/>
            <w:vAlign w:val="bottom"/>
          </w:tcPr>
          <w:p w14:paraId="03563C61">
            <w:pPr>
              <w:jc w:val="left"/>
              <w:rPr>
                <w:rFonts w:hint="eastAsia" w:ascii="宋体" w:hAnsi="宋体" w:eastAsia="宋体" w:cs="宋体"/>
                <w:i w:val="0"/>
                <w:iCs w:val="0"/>
                <w:color w:val="auto"/>
                <w:sz w:val="18"/>
                <w:szCs w:val="18"/>
                <w:u w:val="none"/>
              </w:rPr>
            </w:pPr>
          </w:p>
        </w:tc>
      </w:tr>
      <w:tr w14:paraId="2C2A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7A9022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76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18B143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汇 总 内 容</w:t>
            </w:r>
          </w:p>
        </w:tc>
        <w:tc>
          <w:tcPr>
            <w:tcW w:w="327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0BD20D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费用计算表达式</w:t>
            </w:r>
          </w:p>
        </w:tc>
        <w:tc>
          <w:tcPr>
            <w:tcW w:w="271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F31664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r>
      <w:tr w14:paraId="084A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A498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30E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分部分项工程费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84C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B084F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379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056B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221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其中：投标人工费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FBA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AC1FE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3FF5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AFBB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1A0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其中：人工价差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FDB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C12F2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7A16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069C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478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其中：投标机械费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DDB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BF62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F1F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4316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EFB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其中：机械费价差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0C8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表-07</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71967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28A3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A722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210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AB4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E1C92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7EDA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6010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BF0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施工技术措施项目费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522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BD71A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D2A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EED6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3C7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其中：投标人工费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717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2849F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2961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55A8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15C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其中：人工价差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983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17837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3B2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EF03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D8A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其中：投标机械费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322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FB38A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B50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A92F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19F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其中：机械费价差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203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表-08</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E2A17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4E0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8735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D18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施工组织措施项目费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7B3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6.1+6.2+6.3+6.4+6.5+6.6</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24D5E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690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7B40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FE2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安全文明施工基本费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EB3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86C57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785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2FC2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1D0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提前竣工增加费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1FA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B53FF8">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1F52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21C5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587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二次搬运费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5E8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FB9B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20E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56EB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F31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冬雨季施工增加费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576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E8D49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45FB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0341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BF5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行车、行人干扰增加费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044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E9B2F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34AD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9584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B1A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其他施工组织措施费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CA1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744410">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3CEF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63CA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72B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其他项目</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414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2FA33E">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05A2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4B9E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四</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D9F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规费</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01F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（1+3+5.1+5.3）×费率30.63%</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6B00C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4101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1AA9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14C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税前工程造价</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AA0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一+二+三+四</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1F8EB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17EB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7B34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338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税金</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410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五×税率9%</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9ABE6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025C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733"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18EDC5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合计（</w:t>
            </w:r>
            <w:r>
              <w:rPr>
                <w:rFonts w:hint="eastAsia" w:ascii="宋体" w:hAnsi="宋体" w:eastAsia="宋体" w:cs="宋体"/>
                <w:color w:val="auto"/>
                <w:kern w:val="0"/>
                <w:sz w:val="18"/>
                <w:szCs w:val="18"/>
              </w:rPr>
              <w:t>结转至投标报价明细表</w:t>
            </w:r>
            <w:r>
              <w:rPr>
                <w:rFonts w:hint="eastAsia" w:ascii="宋体" w:hAnsi="宋体" w:eastAsia="宋体" w:cs="宋体"/>
                <w:color w:val="auto"/>
                <w:kern w:val="0"/>
                <w:sz w:val="18"/>
                <w:szCs w:val="18"/>
                <w:lang w:val="en-US" w:eastAsia="zh-CN"/>
              </w:rPr>
              <w:t>-</w:t>
            </w:r>
            <w:r>
              <w:rPr>
                <w:rFonts w:hint="eastAsia" w:ascii="宋体" w:hAnsi="宋体" w:eastAsia="宋体" w:cs="宋体"/>
                <w:i w:val="0"/>
                <w:iCs w:val="0"/>
                <w:color w:val="auto"/>
                <w:kern w:val="0"/>
                <w:sz w:val="18"/>
                <w:szCs w:val="18"/>
                <w:u w:val="none"/>
                <w:lang w:val="en-US" w:eastAsia="zh-CN" w:bidi="ar"/>
              </w:rPr>
              <w:t>北城办事处改造工程-通用安装工程）</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6C460">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五+六</w:t>
            </w:r>
          </w:p>
        </w:tc>
        <w:tc>
          <w:tcPr>
            <w:tcW w:w="27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864FF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bl>
    <w:p w14:paraId="270FD4BA">
      <w:pPr>
        <w:widowControl/>
        <w:snapToGrid w:val="0"/>
        <w:spacing w:line="300" w:lineRule="exact"/>
        <w:rPr>
          <w:rFonts w:hAnsi="宋体" w:eastAsia="宋体"/>
          <w:color w:val="auto"/>
          <w:sz w:val="24"/>
        </w:rPr>
      </w:pPr>
      <w:r>
        <w:rPr>
          <w:rFonts w:hint="eastAsia"/>
          <w:b/>
          <w:color w:val="auto"/>
          <w:sz w:val="21"/>
          <w:szCs w:val="21"/>
        </w:rPr>
        <w:t>注：</w:t>
      </w:r>
      <w:r>
        <w:rPr>
          <w:rFonts w:hint="eastAsia" w:ascii="宋体"/>
          <w:b/>
          <w:color w:val="auto"/>
          <w:sz w:val="21"/>
          <w:szCs w:val="21"/>
        </w:rPr>
        <w:t>1、表所填内容应根据投标人实际情况填写。如有漏报的，视同已包含在投标报 （总）价内或已作优惠处理。有重大缺项的将作无效标处理。</w:t>
      </w:r>
    </w:p>
    <w:p w14:paraId="129558EA">
      <w:pPr>
        <w:snapToGrid w:val="0"/>
        <w:spacing w:before="50" w:after="50"/>
        <w:ind w:right="-1400" w:rightChars="-389"/>
        <w:rPr>
          <w:rFonts w:hint="eastAsia" w:eastAsia="宋体"/>
          <w:color w:val="auto"/>
          <w:lang w:eastAsia="zh-CN"/>
        </w:rPr>
      </w:pPr>
      <w:r>
        <w:rPr>
          <w:rFonts w:hint="eastAsia" w:ascii="宋体" w:hAnsi="宋体" w:eastAsia="宋体" w:cs="宋体"/>
          <w:color w:val="auto"/>
          <w:sz w:val="24"/>
          <w:lang w:eastAsia="zh-CN"/>
        </w:rPr>
        <w:t>磋商供应商代表（签字或盖章）：</w:t>
      </w:r>
    </w:p>
    <w:p w14:paraId="360A4B10">
      <w:pPr>
        <w:pStyle w:val="13"/>
        <w:spacing w:line="320" w:lineRule="exact"/>
        <w:ind w:right="480"/>
        <w:rPr>
          <w:rFonts w:hAnsi="宋体" w:eastAsia="宋体"/>
          <w:color w:val="auto"/>
          <w:sz w:val="24"/>
        </w:rPr>
      </w:pPr>
      <w:r>
        <w:rPr>
          <w:rFonts w:hint="eastAsia" w:hAnsi="宋体" w:eastAsia="宋体"/>
          <w:color w:val="auto"/>
          <w:sz w:val="24"/>
        </w:rPr>
        <w:t>磋商供应商名称（盖章）：</w:t>
      </w:r>
    </w:p>
    <w:p w14:paraId="07C16C20">
      <w:pPr>
        <w:pStyle w:val="3"/>
        <w:ind w:firstLine="0" w:firstLineChars="0"/>
        <w:rPr>
          <w:rFonts w:eastAsia="宋体"/>
          <w:color w:val="auto"/>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eastAsia="宋体" w:cs="宋体"/>
          <w:color w:val="auto"/>
          <w:sz w:val="24"/>
          <w:szCs w:val="24"/>
        </w:rPr>
        <w:t>日期：</w:t>
      </w:r>
    </w:p>
    <w:tbl>
      <w:tblPr>
        <w:tblStyle w:val="26"/>
        <w:tblW w:w="14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416"/>
        <w:gridCol w:w="1917"/>
        <w:gridCol w:w="2759"/>
        <w:gridCol w:w="486"/>
        <w:gridCol w:w="916"/>
        <w:gridCol w:w="884"/>
        <w:gridCol w:w="884"/>
        <w:gridCol w:w="994"/>
        <w:gridCol w:w="945"/>
        <w:gridCol w:w="953"/>
        <w:gridCol w:w="989"/>
        <w:gridCol w:w="711"/>
      </w:tblGrid>
      <w:tr w14:paraId="1CA6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14340" w:type="dxa"/>
            <w:gridSpan w:val="13"/>
            <w:tcBorders>
              <w:top w:val="nil"/>
              <w:left w:val="nil"/>
              <w:bottom w:val="nil"/>
              <w:right w:val="nil"/>
            </w:tcBorders>
            <w:shd w:val="clear" w:color="auto" w:fill="FFFFFF"/>
            <w:vAlign w:val="center"/>
          </w:tcPr>
          <w:p w14:paraId="403B02C7">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分部分项工程量</w:t>
            </w:r>
            <w:r>
              <w:rPr>
                <w:rFonts w:hint="eastAsia" w:ascii="黑体" w:hAnsi="宋体" w:eastAsia="黑体" w:cs="黑体"/>
                <w:b/>
                <w:bCs/>
                <w:i w:val="0"/>
                <w:iCs w:val="0"/>
                <w:color w:val="auto"/>
                <w:kern w:val="0"/>
                <w:sz w:val="36"/>
                <w:szCs w:val="36"/>
                <w:u w:val="none"/>
                <w:lang w:val="en-US" w:eastAsia="zh-CN" w:bidi="ar"/>
              </w:rPr>
              <w:t>清单与报价表</w:t>
            </w:r>
          </w:p>
        </w:tc>
      </w:tr>
      <w:tr w14:paraId="2D48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1687" w:type="dxa"/>
            <w:gridSpan w:val="10"/>
            <w:tcBorders>
              <w:top w:val="nil"/>
              <w:left w:val="nil"/>
              <w:bottom w:val="nil"/>
              <w:right w:val="nil"/>
            </w:tcBorders>
            <w:shd w:val="clear" w:color="auto" w:fill="FFFFFF"/>
            <w:vAlign w:val="bottom"/>
          </w:tcPr>
          <w:p w14:paraId="26684564">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单位工程（专业）：北城办事处改造工程-通用安装工程</w:t>
            </w:r>
          </w:p>
        </w:tc>
        <w:tc>
          <w:tcPr>
            <w:tcW w:w="2653" w:type="dxa"/>
            <w:gridSpan w:val="3"/>
            <w:tcBorders>
              <w:top w:val="nil"/>
              <w:left w:val="nil"/>
              <w:bottom w:val="nil"/>
              <w:right w:val="nil"/>
            </w:tcBorders>
            <w:shd w:val="clear" w:color="auto" w:fill="FFFFFF"/>
            <w:vAlign w:val="bottom"/>
          </w:tcPr>
          <w:p w14:paraId="4CAD4417">
            <w:pPr>
              <w:jc w:val="right"/>
              <w:rPr>
                <w:rFonts w:hint="eastAsia" w:ascii="宋体" w:hAnsi="宋体" w:eastAsia="宋体" w:cs="宋体"/>
                <w:i w:val="0"/>
                <w:iCs w:val="0"/>
                <w:color w:val="auto"/>
                <w:sz w:val="20"/>
                <w:szCs w:val="20"/>
                <w:u w:val="none"/>
              </w:rPr>
            </w:pPr>
          </w:p>
        </w:tc>
      </w:tr>
      <w:tr w14:paraId="3EB3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2B59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44DE5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1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559E4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561B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C571D">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4EDC84A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9FF9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A38CF">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综合单价</w:t>
            </w:r>
          </w:p>
          <w:p w14:paraId="23E6262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853E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合价</w:t>
            </w:r>
          </w:p>
          <w:p w14:paraId="39BADFC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38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056A3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其中(元)</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A0FB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44C7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EEE17">
            <w:pPr>
              <w:jc w:val="center"/>
              <w:rPr>
                <w:rFonts w:hint="eastAsia" w:ascii="宋体" w:hAnsi="宋体" w:eastAsia="宋体" w:cs="宋体"/>
                <w:b/>
                <w:bCs/>
                <w:i w:val="0"/>
                <w:iCs w:val="0"/>
                <w:color w:val="auto"/>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43D71">
            <w:pPr>
              <w:jc w:val="center"/>
              <w:rPr>
                <w:rFonts w:hint="eastAsia" w:ascii="宋体" w:hAnsi="宋体" w:eastAsia="宋体" w:cs="宋体"/>
                <w:b/>
                <w:bCs/>
                <w:i w:val="0"/>
                <w:iCs w:val="0"/>
                <w:color w:val="auto"/>
                <w:sz w:val="18"/>
                <w:szCs w:val="18"/>
                <w:u w:val="none"/>
              </w:rPr>
            </w:pPr>
          </w:p>
        </w:tc>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A4EE6">
            <w:pPr>
              <w:jc w:val="center"/>
              <w:rPr>
                <w:rFonts w:hint="eastAsia" w:ascii="宋体" w:hAnsi="宋体" w:eastAsia="宋体" w:cs="宋体"/>
                <w:b/>
                <w:bCs/>
                <w:i w:val="0"/>
                <w:iCs w:val="0"/>
                <w:color w:val="auto"/>
                <w:sz w:val="18"/>
                <w:szCs w:val="18"/>
                <w:u w:val="none"/>
              </w:rPr>
            </w:pPr>
          </w:p>
        </w:tc>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F58BD">
            <w:pPr>
              <w:jc w:val="center"/>
              <w:rPr>
                <w:rFonts w:hint="eastAsia" w:ascii="宋体" w:hAnsi="宋体" w:eastAsia="宋体" w:cs="宋体"/>
                <w:b/>
                <w:bCs/>
                <w:i w:val="0"/>
                <w:iCs w:val="0"/>
                <w:color w:val="auto"/>
                <w:sz w:val="18"/>
                <w:szCs w:val="18"/>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AD040">
            <w:pPr>
              <w:jc w:val="center"/>
              <w:rPr>
                <w:rFonts w:hint="eastAsia" w:ascii="宋体" w:hAnsi="宋体" w:eastAsia="宋体" w:cs="宋体"/>
                <w:b/>
                <w:bCs/>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9BFB9">
            <w:pPr>
              <w:jc w:val="center"/>
              <w:rPr>
                <w:rFonts w:hint="eastAsia" w:ascii="宋体" w:hAnsi="宋体" w:eastAsia="宋体" w:cs="宋体"/>
                <w:b/>
                <w:bCs/>
                <w:i w:val="0"/>
                <w:iCs w:val="0"/>
                <w:color w:val="auto"/>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F00B9">
            <w:pPr>
              <w:jc w:val="center"/>
              <w:rPr>
                <w:rFonts w:hint="eastAsia" w:ascii="宋体" w:hAnsi="宋体" w:eastAsia="宋体" w:cs="宋体"/>
                <w:b/>
                <w:bCs/>
                <w:i w:val="0"/>
                <w:iCs w:val="0"/>
                <w:color w:val="auto"/>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8C3DD">
            <w:pPr>
              <w:jc w:val="center"/>
              <w:rPr>
                <w:rFonts w:hint="eastAsia" w:ascii="宋体" w:hAnsi="宋体" w:eastAsia="宋体" w:cs="宋体"/>
                <w:b/>
                <w:bCs/>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BC05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投标人工费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EFA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人工费价差</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FEB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投标机械费</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C655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机械费价差</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36D83">
            <w:pPr>
              <w:jc w:val="center"/>
              <w:rPr>
                <w:rFonts w:hint="eastAsia" w:ascii="宋体" w:hAnsi="宋体" w:eastAsia="宋体" w:cs="宋体"/>
                <w:b/>
                <w:bCs/>
                <w:i w:val="0"/>
                <w:iCs w:val="0"/>
                <w:color w:val="auto"/>
                <w:sz w:val="18"/>
                <w:szCs w:val="18"/>
                <w:u w:val="none"/>
              </w:rPr>
            </w:pPr>
          </w:p>
        </w:tc>
      </w:tr>
      <w:tr w14:paraId="3A12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A0F7">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C1AF">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9ED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电气设备安装工程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AC766">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0D011">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85FE">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EB24">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0CF5D">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0E3DC">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1621">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E6BB">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5764B">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A843">
            <w:pPr>
              <w:jc w:val="left"/>
              <w:rPr>
                <w:rFonts w:hint="eastAsia" w:ascii="宋体" w:hAnsi="宋体" w:eastAsia="宋体" w:cs="宋体"/>
                <w:i w:val="0"/>
                <w:iCs w:val="0"/>
                <w:color w:val="auto"/>
                <w:sz w:val="18"/>
                <w:szCs w:val="18"/>
                <w:u w:val="none"/>
              </w:rPr>
            </w:pPr>
          </w:p>
        </w:tc>
      </w:tr>
      <w:tr w14:paraId="1456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8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305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75E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C4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1、名称：紧定式镀锌钢导管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2、规格：JDG20*1.6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3、配置形式：砖、混凝土结构明配</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42C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DB1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3458.2</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2C41">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940B8">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1A1B">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F7C0">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D1A6">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80F8">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D1902">
            <w:pPr>
              <w:jc w:val="left"/>
              <w:rPr>
                <w:rFonts w:hint="eastAsia" w:ascii="宋体" w:hAnsi="宋体" w:eastAsia="宋体" w:cs="宋体"/>
                <w:i w:val="0"/>
                <w:iCs w:val="0"/>
                <w:color w:val="auto"/>
                <w:sz w:val="18"/>
                <w:szCs w:val="18"/>
                <w:u w:val="none"/>
              </w:rPr>
            </w:pPr>
          </w:p>
        </w:tc>
      </w:tr>
      <w:tr w14:paraId="2E63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069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D8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A35E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89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1.名称：铜芯绝缘导线；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3.型号规格：BV-4。</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983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039E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6916.4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E72A">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BCB1A">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C2C0">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8D698">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1DB4">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3D4E8">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7B44">
            <w:pPr>
              <w:jc w:val="left"/>
              <w:rPr>
                <w:rFonts w:hint="eastAsia" w:ascii="宋体" w:hAnsi="宋体" w:eastAsia="宋体" w:cs="宋体"/>
                <w:i w:val="0"/>
                <w:iCs w:val="0"/>
                <w:color w:val="auto"/>
                <w:sz w:val="18"/>
                <w:szCs w:val="18"/>
                <w:u w:val="none"/>
              </w:rPr>
            </w:pPr>
          </w:p>
        </w:tc>
      </w:tr>
      <w:tr w14:paraId="3FD8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507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40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030411004004</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768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FD8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1.名称：铜芯绝缘导线；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3.型号规格：BVR-4。</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502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ECAA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3458.2</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90C3">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C182">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21BD">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FD57">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102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F6098">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17FA">
            <w:pPr>
              <w:jc w:val="left"/>
              <w:rPr>
                <w:rFonts w:hint="eastAsia" w:ascii="宋体" w:hAnsi="宋体" w:eastAsia="宋体" w:cs="宋体"/>
                <w:i w:val="0"/>
                <w:iCs w:val="0"/>
                <w:color w:val="auto"/>
                <w:sz w:val="18"/>
                <w:szCs w:val="18"/>
                <w:u w:val="none"/>
              </w:rPr>
            </w:pPr>
          </w:p>
        </w:tc>
      </w:tr>
      <w:tr w14:paraId="3C9E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34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6C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030404035002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DCB4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F43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1.名称：单相二.三孔两用插座（安全型）；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2.规格：10A,250V,86系列；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3.安装方式：暗装，底边距地0.3m,0.9m,1.0m,1.2m等。</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3E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0FA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A4B17">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1A4A">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16D1">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6B69">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636F">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1FC26">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30D0">
            <w:pPr>
              <w:jc w:val="left"/>
              <w:rPr>
                <w:rFonts w:hint="eastAsia" w:ascii="宋体" w:hAnsi="宋体" w:eastAsia="宋体" w:cs="宋体"/>
                <w:i w:val="0"/>
                <w:iCs w:val="0"/>
                <w:color w:val="auto"/>
                <w:sz w:val="18"/>
                <w:szCs w:val="18"/>
                <w:u w:val="none"/>
              </w:rPr>
            </w:pPr>
          </w:p>
        </w:tc>
      </w:tr>
      <w:tr w14:paraId="07F9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1E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26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030404035003</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938B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D0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1.名称：单相二.三孔防水插座（安全型）；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2.规格：10A,250V,86系列；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EF1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DF6E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450A3">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58B54">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129A">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789E1">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CBED">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F09E">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D934">
            <w:pPr>
              <w:jc w:val="left"/>
              <w:rPr>
                <w:rFonts w:hint="eastAsia" w:ascii="宋体" w:hAnsi="宋体" w:eastAsia="宋体" w:cs="宋体"/>
                <w:i w:val="0"/>
                <w:iCs w:val="0"/>
                <w:color w:val="auto"/>
                <w:sz w:val="18"/>
                <w:szCs w:val="18"/>
                <w:u w:val="none"/>
              </w:rPr>
            </w:pPr>
          </w:p>
        </w:tc>
      </w:tr>
      <w:tr w14:paraId="10BE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DE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B4D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030411006002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D55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4DE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1.名称：开关、插座盒；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3.规格：86H60；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4.安装形式：暗装。</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C6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BF1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976F4">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E5DD">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86AE">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9BD65">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8FC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446E">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DF93F">
            <w:pPr>
              <w:jc w:val="left"/>
              <w:rPr>
                <w:rFonts w:hint="eastAsia" w:ascii="宋体" w:hAnsi="宋体" w:eastAsia="宋体" w:cs="宋体"/>
                <w:i w:val="0"/>
                <w:iCs w:val="0"/>
                <w:color w:val="auto"/>
                <w:sz w:val="18"/>
                <w:szCs w:val="18"/>
                <w:u w:val="none"/>
              </w:rPr>
            </w:pPr>
          </w:p>
        </w:tc>
      </w:tr>
      <w:tr w14:paraId="42A9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9B60">
            <w:pPr>
              <w:jc w:val="center"/>
              <w:rPr>
                <w:rFonts w:hint="eastAsia" w:ascii="宋体" w:hAnsi="宋体" w:eastAsia="宋体" w:cs="宋体"/>
                <w:i w:val="0"/>
                <w:iCs w:val="0"/>
                <w:color w:val="auto"/>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93AB">
            <w:pPr>
              <w:jc w:val="center"/>
              <w:rPr>
                <w:rFonts w:hint="eastAsia" w:ascii="宋体" w:hAnsi="宋体" w:eastAsia="宋体" w:cs="宋体"/>
                <w:i w:val="0"/>
                <w:iCs w:val="0"/>
                <w:color w:val="auto"/>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ADF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建筑智能化工程</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D9EBE">
            <w:pPr>
              <w:jc w:val="left"/>
              <w:rPr>
                <w:rFonts w:hint="eastAsia" w:ascii="宋体" w:hAnsi="宋体" w:eastAsia="宋体" w:cs="宋体"/>
                <w:i w:val="0"/>
                <w:iCs w:val="0"/>
                <w:color w:val="auto"/>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8AA4">
            <w:pPr>
              <w:jc w:val="left"/>
              <w:rPr>
                <w:rFonts w:hint="eastAsia" w:ascii="宋体" w:hAnsi="宋体" w:eastAsia="宋体" w:cs="宋体"/>
                <w:i w:val="0"/>
                <w:iCs w:val="0"/>
                <w:color w:val="auto"/>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29E0">
            <w:pPr>
              <w:jc w:val="right"/>
              <w:rPr>
                <w:rFonts w:hint="eastAsia" w:ascii="宋体" w:hAnsi="宋体" w:eastAsia="宋体" w:cs="宋体"/>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43DD">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CA69F">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70568">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1766A">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EAB7">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59A7">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B127">
            <w:pPr>
              <w:jc w:val="left"/>
              <w:rPr>
                <w:rFonts w:hint="eastAsia" w:ascii="宋体" w:hAnsi="宋体" w:eastAsia="宋体" w:cs="宋体"/>
                <w:i w:val="0"/>
                <w:iCs w:val="0"/>
                <w:color w:val="auto"/>
                <w:sz w:val="18"/>
                <w:szCs w:val="18"/>
                <w:u w:val="none"/>
              </w:rPr>
            </w:pPr>
          </w:p>
        </w:tc>
      </w:tr>
      <w:tr w14:paraId="046A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80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0F6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030507008001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C2C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监控摄像设备</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8AC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1、名称：摄像机球型一体机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2、类别：室内半球 poe-高清安防摄像机</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58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EC0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19F59">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D39A">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24135">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9BF5">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A5EA7">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85FE">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3BC0">
            <w:pPr>
              <w:jc w:val="left"/>
              <w:rPr>
                <w:rFonts w:hint="eastAsia" w:ascii="宋体" w:hAnsi="宋体" w:eastAsia="宋体" w:cs="宋体"/>
                <w:i w:val="0"/>
                <w:iCs w:val="0"/>
                <w:color w:val="auto"/>
                <w:sz w:val="18"/>
                <w:szCs w:val="18"/>
                <w:u w:val="none"/>
              </w:rPr>
            </w:pPr>
          </w:p>
        </w:tc>
      </w:tr>
      <w:tr w14:paraId="646B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68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DF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512A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263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1、名称：刚性阻燃管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2、规格：PVC20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3、配置形式：砖、混凝土结构明配</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95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66A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751.8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5DDE">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CBC68">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5B73">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726B3">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384C">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E994">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0A0D">
            <w:pPr>
              <w:jc w:val="left"/>
              <w:rPr>
                <w:rFonts w:hint="eastAsia" w:ascii="宋体" w:hAnsi="宋体" w:eastAsia="宋体" w:cs="宋体"/>
                <w:i w:val="0"/>
                <w:iCs w:val="0"/>
                <w:color w:val="auto"/>
                <w:sz w:val="18"/>
                <w:szCs w:val="18"/>
                <w:u w:val="none"/>
              </w:rPr>
            </w:pPr>
          </w:p>
        </w:tc>
      </w:tr>
      <w:tr w14:paraId="0498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BC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D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030502005001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020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双绞线缆</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B6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1、名称：双绞线缆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2、规格：UTPCAT6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3、敷设方式：管内穿放（含配套水晶头）</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AF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306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751.8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02774">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5407">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EA96A">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7D280">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6710B">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C22AC">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594F">
            <w:pPr>
              <w:jc w:val="left"/>
              <w:rPr>
                <w:rFonts w:hint="eastAsia" w:ascii="宋体" w:hAnsi="宋体" w:eastAsia="宋体" w:cs="宋体"/>
                <w:i w:val="0"/>
                <w:iCs w:val="0"/>
                <w:color w:val="auto"/>
                <w:sz w:val="18"/>
                <w:szCs w:val="18"/>
                <w:u w:val="none"/>
              </w:rPr>
            </w:pPr>
          </w:p>
        </w:tc>
      </w:tr>
      <w:tr w14:paraId="4920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1A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62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030411006003</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CE9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接线盒</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BE3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1、名称：接线盒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3、规格：86H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4、安装形式：暗装</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C39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DC75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62A3">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DC66">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7C75">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9AEC5">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7F45B">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B621">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FF1B">
            <w:pPr>
              <w:jc w:val="left"/>
              <w:rPr>
                <w:rFonts w:hint="eastAsia" w:ascii="宋体" w:hAnsi="宋体" w:eastAsia="宋体" w:cs="宋体"/>
                <w:i w:val="0"/>
                <w:iCs w:val="0"/>
                <w:color w:val="auto"/>
                <w:sz w:val="18"/>
                <w:szCs w:val="18"/>
                <w:u w:val="none"/>
              </w:rPr>
            </w:pPr>
          </w:p>
        </w:tc>
      </w:tr>
      <w:tr w14:paraId="6EBE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30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945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030502012002</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692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信息插座</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06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1、名称：单口信息插座面板；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2、规格：86*86型，配合RJ45模块、语音模块一起使用，为信息终端（数据、语音、）提供引出接口，适合多类型模块安装</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A2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0A9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95E7">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1CC6">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0D32">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32F1">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41B99">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EBA5">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E3E7">
            <w:pPr>
              <w:jc w:val="left"/>
              <w:rPr>
                <w:rFonts w:hint="eastAsia" w:ascii="宋体" w:hAnsi="宋体" w:eastAsia="宋体" w:cs="宋体"/>
                <w:i w:val="0"/>
                <w:iCs w:val="0"/>
                <w:color w:val="auto"/>
                <w:sz w:val="18"/>
                <w:szCs w:val="18"/>
                <w:u w:val="none"/>
              </w:rPr>
            </w:pPr>
          </w:p>
        </w:tc>
      </w:tr>
      <w:tr w14:paraId="5808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4D0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5B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030502012003</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9336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信息插座</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18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1、名称：六类非屏蔽模块</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EB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72B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5F7A">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6470">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2B2F">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C6EF">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95D7A">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D272">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48F2B">
            <w:pPr>
              <w:jc w:val="left"/>
              <w:rPr>
                <w:rFonts w:hint="eastAsia" w:ascii="宋体" w:hAnsi="宋体" w:eastAsia="宋体" w:cs="宋体"/>
                <w:i w:val="0"/>
                <w:iCs w:val="0"/>
                <w:color w:val="auto"/>
                <w:sz w:val="18"/>
                <w:szCs w:val="18"/>
                <w:u w:val="none"/>
              </w:rPr>
            </w:pPr>
          </w:p>
        </w:tc>
      </w:tr>
      <w:tr w14:paraId="69AC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51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6F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030502019001</w:t>
            </w:r>
          </w:p>
        </w:tc>
        <w:tc>
          <w:tcPr>
            <w:tcW w:w="1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DD3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双绞线缆测试</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2B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1、测试类别：测试 4对双绞线缆</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F5C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路</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1C3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9169">
            <w:pPr>
              <w:jc w:val="center"/>
              <w:rPr>
                <w:rFonts w:hint="eastAsia" w:ascii="Arial" w:hAnsi="Arial" w:eastAsia="宋体" w:cs="Arial"/>
                <w:i w:val="0"/>
                <w:iCs w:val="0"/>
                <w:color w:val="auto"/>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70FC1">
            <w:pPr>
              <w:jc w:val="center"/>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BBF5">
            <w:pPr>
              <w:jc w:val="center"/>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855F">
            <w:pPr>
              <w:jc w:val="center"/>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5C93">
            <w:pPr>
              <w:jc w:val="center"/>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4B66">
            <w:pPr>
              <w:jc w:val="center"/>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617F0">
            <w:pPr>
              <w:jc w:val="left"/>
              <w:rPr>
                <w:rFonts w:hint="eastAsia" w:ascii="宋体" w:hAnsi="宋体" w:eastAsia="宋体" w:cs="宋体"/>
                <w:i w:val="0"/>
                <w:iCs w:val="0"/>
                <w:color w:val="auto"/>
                <w:sz w:val="18"/>
                <w:szCs w:val="18"/>
                <w:u w:val="none"/>
              </w:rPr>
            </w:pPr>
          </w:p>
        </w:tc>
      </w:tr>
      <w:tr w14:paraId="74FF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86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D2B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   计</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4386">
            <w:pPr>
              <w:jc w:val="right"/>
              <w:rPr>
                <w:rFonts w:hint="eastAsia" w:ascii="宋体" w:hAnsi="宋体" w:eastAsia="宋体" w:cs="宋体"/>
                <w:i w:val="0"/>
                <w:iCs w:val="0"/>
                <w:color w:val="auto"/>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74E1">
            <w:pPr>
              <w:jc w:val="right"/>
              <w:rPr>
                <w:rFonts w:hint="eastAsia" w:ascii="宋体" w:hAnsi="宋体" w:eastAsia="宋体" w:cs="宋体"/>
                <w:i w:val="0"/>
                <w:iCs w:val="0"/>
                <w:color w:val="auto"/>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E85D">
            <w:pPr>
              <w:jc w:val="right"/>
              <w:rPr>
                <w:rFonts w:hint="eastAsia" w:ascii="宋体" w:hAnsi="宋体" w:eastAsia="宋体" w:cs="宋体"/>
                <w:i w:val="0"/>
                <w:iCs w:val="0"/>
                <w:color w:val="auto"/>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6DD8">
            <w:pPr>
              <w:jc w:val="right"/>
              <w:rPr>
                <w:rFonts w:hint="eastAsia" w:ascii="宋体" w:hAnsi="宋体" w:eastAsia="宋体" w:cs="宋体"/>
                <w:i w:val="0"/>
                <w:iCs w:val="0"/>
                <w:color w:val="auto"/>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FD05">
            <w:pPr>
              <w:jc w:val="right"/>
              <w:rPr>
                <w:rFonts w:hint="eastAsia" w:ascii="宋体" w:hAnsi="宋体" w:eastAsia="宋体" w:cs="宋体"/>
                <w:i w:val="0"/>
                <w:iCs w:val="0"/>
                <w:color w:val="auto"/>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3E7B1">
            <w:pPr>
              <w:jc w:val="left"/>
              <w:rPr>
                <w:rFonts w:hint="eastAsia" w:ascii="宋体" w:hAnsi="宋体" w:eastAsia="宋体" w:cs="宋体"/>
                <w:i w:val="0"/>
                <w:iCs w:val="0"/>
                <w:color w:val="auto"/>
                <w:sz w:val="18"/>
                <w:szCs w:val="18"/>
                <w:u w:val="none"/>
              </w:rPr>
            </w:pPr>
          </w:p>
        </w:tc>
      </w:tr>
    </w:tbl>
    <w:p w14:paraId="722ABE99">
      <w:pPr>
        <w:widowControl/>
        <w:snapToGrid w:val="0"/>
        <w:spacing w:line="300" w:lineRule="exact"/>
        <w:rPr>
          <w:color w:val="auto"/>
          <w:sz w:val="18"/>
          <w:szCs w:val="18"/>
        </w:rPr>
      </w:pPr>
      <w:r>
        <w:rPr>
          <w:rFonts w:hint="eastAsia"/>
          <w:b/>
          <w:color w:val="auto"/>
          <w:sz w:val="18"/>
          <w:szCs w:val="18"/>
        </w:rPr>
        <w:t>注：</w:t>
      </w:r>
      <w:r>
        <w:rPr>
          <w:rFonts w:hint="eastAsia" w:ascii="宋体"/>
          <w:b/>
          <w:color w:val="auto"/>
          <w:sz w:val="18"/>
          <w:szCs w:val="18"/>
        </w:rPr>
        <w:t>1、表所填内容应根据投标人实际情况填写。如有漏报的，视同已包含在投标报（总）价内或已作优惠处理。有重大缺项的将作无效标处理。</w:t>
      </w:r>
    </w:p>
    <w:p w14:paraId="5F427F2C">
      <w:pPr>
        <w:snapToGrid w:val="0"/>
        <w:spacing w:before="50" w:after="50"/>
        <w:ind w:right="-1400" w:rightChars="-389" w:firstLine="180" w:firstLineChars="1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磋商供应商代表（签字或盖章）：</w:t>
      </w:r>
    </w:p>
    <w:p w14:paraId="5DB9D0CC">
      <w:pPr>
        <w:snapToGrid w:val="0"/>
        <w:spacing w:before="50" w:after="50"/>
        <w:ind w:right="-1400" w:rightChars="-389" w:firstLine="180" w:firstLineChars="100"/>
        <w:rPr>
          <w:rFonts w:hint="eastAsia" w:hAnsi="宋体" w:eastAsia="宋体" w:cs="宋体"/>
          <w:color w:val="auto"/>
          <w:sz w:val="18"/>
          <w:szCs w:val="18"/>
        </w:rPr>
      </w:pPr>
      <w:r>
        <w:rPr>
          <w:rFonts w:hint="eastAsia" w:hAnsi="宋体" w:eastAsia="宋体"/>
          <w:color w:val="auto"/>
          <w:sz w:val="18"/>
          <w:szCs w:val="18"/>
        </w:rPr>
        <w:t xml:space="preserve">磋商供应商名称（盖章）：                                                           </w:t>
      </w:r>
      <w:r>
        <w:rPr>
          <w:rFonts w:hint="eastAsia" w:hAnsi="宋体" w:eastAsia="宋体" w:cs="宋体"/>
          <w:color w:val="auto"/>
          <w:sz w:val="18"/>
          <w:szCs w:val="18"/>
        </w:rPr>
        <w:t xml:space="preserve">日期：    </w:t>
      </w:r>
    </w:p>
    <w:p w14:paraId="024C5B29">
      <w:pPr>
        <w:pStyle w:val="2"/>
        <w:rPr>
          <w:rFonts w:hint="eastAsia" w:hAnsi="宋体" w:eastAsia="宋体" w:cs="宋体"/>
          <w:color w:val="auto"/>
          <w:sz w:val="18"/>
          <w:szCs w:val="18"/>
        </w:rPr>
      </w:pPr>
    </w:p>
    <w:p w14:paraId="7022E4E2">
      <w:pPr>
        <w:pStyle w:val="3"/>
        <w:rPr>
          <w:rFonts w:hint="eastAsia" w:hAnsi="宋体" w:eastAsia="宋体" w:cs="宋体"/>
          <w:color w:val="auto"/>
          <w:sz w:val="18"/>
          <w:szCs w:val="18"/>
        </w:rPr>
      </w:pPr>
    </w:p>
    <w:p w14:paraId="77505E2D">
      <w:pPr>
        <w:pStyle w:val="3"/>
        <w:rPr>
          <w:rFonts w:hint="eastAsia" w:hAnsi="宋体" w:eastAsia="宋体" w:cs="宋体"/>
          <w:color w:val="auto"/>
          <w:sz w:val="18"/>
          <w:szCs w:val="18"/>
        </w:rPr>
      </w:pPr>
    </w:p>
    <w:p w14:paraId="657073CE">
      <w:pPr>
        <w:pStyle w:val="3"/>
        <w:rPr>
          <w:rFonts w:hint="eastAsia" w:hAnsi="宋体" w:eastAsia="宋体" w:cs="宋体"/>
          <w:color w:val="auto"/>
          <w:sz w:val="18"/>
          <w:szCs w:val="18"/>
        </w:rPr>
      </w:pPr>
    </w:p>
    <w:p w14:paraId="066158BF">
      <w:pPr>
        <w:pStyle w:val="3"/>
        <w:rPr>
          <w:rFonts w:hint="eastAsia" w:hAnsi="宋体" w:eastAsia="宋体" w:cs="宋体"/>
          <w:color w:val="auto"/>
          <w:sz w:val="18"/>
          <w:szCs w:val="18"/>
        </w:rPr>
      </w:pPr>
    </w:p>
    <w:p w14:paraId="640CC236">
      <w:pPr>
        <w:pStyle w:val="3"/>
        <w:rPr>
          <w:rFonts w:hint="eastAsia" w:hAnsi="宋体" w:eastAsia="宋体" w:cs="宋体"/>
          <w:color w:val="auto"/>
          <w:sz w:val="18"/>
          <w:szCs w:val="18"/>
        </w:rPr>
      </w:pPr>
    </w:p>
    <w:p w14:paraId="711E343D">
      <w:pPr>
        <w:pStyle w:val="3"/>
        <w:rPr>
          <w:rFonts w:hint="eastAsia" w:hAnsi="宋体" w:eastAsia="宋体" w:cs="宋体"/>
          <w:color w:val="auto"/>
          <w:sz w:val="18"/>
          <w:szCs w:val="18"/>
        </w:rPr>
      </w:pPr>
    </w:p>
    <w:p w14:paraId="64720FFC">
      <w:pPr>
        <w:pStyle w:val="3"/>
        <w:rPr>
          <w:rFonts w:hint="eastAsia" w:hAnsi="宋体" w:eastAsia="宋体" w:cs="宋体"/>
          <w:color w:val="auto"/>
          <w:sz w:val="18"/>
          <w:szCs w:val="18"/>
        </w:rPr>
      </w:pPr>
    </w:p>
    <w:p w14:paraId="79268B31">
      <w:pPr>
        <w:pStyle w:val="3"/>
        <w:rPr>
          <w:rFonts w:hint="eastAsia" w:hAnsi="宋体" w:eastAsia="宋体" w:cs="宋体"/>
          <w:color w:val="auto"/>
          <w:sz w:val="18"/>
          <w:szCs w:val="18"/>
        </w:rPr>
      </w:pPr>
    </w:p>
    <w:p w14:paraId="4F72FCB7">
      <w:pPr>
        <w:pStyle w:val="3"/>
        <w:rPr>
          <w:rFonts w:hint="eastAsia" w:hAnsi="宋体" w:eastAsia="宋体" w:cs="宋体"/>
          <w:color w:val="auto"/>
          <w:sz w:val="18"/>
          <w:szCs w:val="18"/>
        </w:rPr>
      </w:pPr>
    </w:p>
    <w:tbl>
      <w:tblPr>
        <w:tblStyle w:val="26"/>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
        <w:gridCol w:w="1416"/>
        <w:gridCol w:w="1817"/>
        <w:gridCol w:w="2725"/>
        <w:gridCol w:w="612"/>
        <w:gridCol w:w="916"/>
        <w:gridCol w:w="843"/>
        <w:gridCol w:w="908"/>
        <w:gridCol w:w="942"/>
        <w:gridCol w:w="968"/>
        <w:gridCol w:w="914"/>
        <w:gridCol w:w="955"/>
        <w:gridCol w:w="678"/>
      </w:tblGrid>
      <w:tr w14:paraId="780A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4100" w:type="dxa"/>
            <w:gridSpan w:val="13"/>
            <w:tcBorders>
              <w:top w:val="nil"/>
              <w:left w:val="nil"/>
              <w:bottom w:val="nil"/>
              <w:right w:val="nil"/>
            </w:tcBorders>
            <w:shd w:val="clear" w:color="auto" w:fill="FFFFFF"/>
            <w:vAlign w:val="center"/>
          </w:tcPr>
          <w:p w14:paraId="0E0EB1C1">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施工技术措施项目</w:t>
            </w:r>
            <w:r>
              <w:rPr>
                <w:rFonts w:hint="eastAsia" w:ascii="黑体" w:hAnsi="宋体" w:eastAsia="黑体" w:cs="黑体"/>
                <w:b/>
                <w:bCs/>
                <w:i w:val="0"/>
                <w:iCs w:val="0"/>
                <w:color w:val="auto"/>
                <w:kern w:val="0"/>
                <w:sz w:val="36"/>
                <w:szCs w:val="36"/>
                <w:u w:val="none"/>
                <w:lang w:val="en-US" w:eastAsia="zh-CN" w:bidi="ar"/>
              </w:rPr>
              <w:t>清单与报价表</w:t>
            </w:r>
          </w:p>
        </w:tc>
      </w:tr>
      <w:tr w14:paraId="7107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735" w:type="dxa"/>
            <w:gridSpan w:val="7"/>
            <w:tcBorders>
              <w:top w:val="nil"/>
              <w:left w:val="nil"/>
              <w:bottom w:val="nil"/>
              <w:right w:val="nil"/>
            </w:tcBorders>
            <w:shd w:val="clear" w:color="auto" w:fill="FFFFFF"/>
            <w:vAlign w:val="bottom"/>
          </w:tcPr>
          <w:p w14:paraId="59E68032">
            <w:pPr>
              <w:keepNext w:val="0"/>
              <w:keepLines w:val="0"/>
              <w:widowControl/>
              <w:suppressLineNumbers w:val="0"/>
              <w:jc w:val="lef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单位工程（专业）：</w:t>
            </w:r>
            <w:r>
              <w:rPr>
                <w:rFonts w:hint="eastAsia" w:ascii="宋体" w:hAnsi="宋体" w:eastAsia="宋体" w:cs="宋体"/>
                <w:i w:val="0"/>
                <w:iCs w:val="0"/>
                <w:color w:val="auto"/>
                <w:kern w:val="0"/>
                <w:sz w:val="20"/>
                <w:szCs w:val="20"/>
                <w:u w:val="none"/>
                <w:lang w:val="en-US" w:eastAsia="zh-CN" w:bidi="ar"/>
              </w:rPr>
              <w:t>北城办事处改造工程-通用安装工程</w:t>
            </w:r>
          </w:p>
        </w:tc>
        <w:tc>
          <w:tcPr>
            <w:tcW w:w="908" w:type="dxa"/>
            <w:tcBorders>
              <w:top w:val="nil"/>
              <w:left w:val="nil"/>
              <w:bottom w:val="nil"/>
              <w:right w:val="nil"/>
            </w:tcBorders>
            <w:shd w:val="clear" w:color="auto" w:fill="FFFFFF"/>
            <w:vAlign w:val="center"/>
          </w:tcPr>
          <w:p w14:paraId="181D7002">
            <w:pPr>
              <w:jc w:val="left"/>
              <w:rPr>
                <w:rFonts w:hint="eastAsia" w:ascii="宋体" w:hAnsi="宋体" w:eastAsia="宋体" w:cs="宋体"/>
                <w:i w:val="0"/>
                <w:iCs w:val="0"/>
                <w:color w:val="auto"/>
                <w:sz w:val="24"/>
                <w:szCs w:val="24"/>
                <w:u w:val="none"/>
              </w:rPr>
            </w:pPr>
          </w:p>
        </w:tc>
        <w:tc>
          <w:tcPr>
            <w:tcW w:w="942" w:type="dxa"/>
            <w:tcBorders>
              <w:top w:val="nil"/>
              <w:left w:val="nil"/>
              <w:bottom w:val="nil"/>
              <w:right w:val="nil"/>
            </w:tcBorders>
            <w:shd w:val="clear" w:color="auto" w:fill="FFFFFF"/>
            <w:vAlign w:val="center"/>
          </w:tcPr>
          <w:p w14:paraId="6A511ADB">
            <w:pPr>
              <w:jc w:val="center"/>
              <w:rPr>
                <w:rFonts w:hint="eastAsia" w:ascii="宋体" w:hAnsi="宋体" w:eastAsia="宋体" w:cs="宋体"/>
                <w:i w:val="0"/>
                <w:iCs w:val="0"/>
                <w:color w:val="auto"/>
                <w:sz w:val="18"/>
                <w:szCs w:val="18"/>
                <w:u w:val="none"/>
              </w:rPr>
            </w:pPr>
          </w:p>
        </w:tc>
        <w:tc>
          <w:tcPr>
            <w:tcW w:w="968" w:type="dxa"/>
            <w:tcBorders>
              <w:top w:val="nil"/>
              <w:left w:val="nil"/>
              <w:bottom w:val="nil"/>
              <w:right w:val="nil"/>
            </w:tcBorders>
            <w:shd w:val="clear" w:color="auto" w:fill="FFFFFF"/>
            <w:vAlign w:val="center"/>
          </w:tcPr>
          <w:p w14:paraId="1B6F2288">
            <w:pPr>
              <w:jc w:val="left"/>
              <w:rPr>
                <w:rFonts w:hint="eastAsia" w:ascii="宋体" w:hAnsi="宋体" w:eastAsia="宋体" w:cs="宋体"/>
                <w:i w:val="0"/>
                <w:iCs w:val="0"/>
                <w:color w:val="auto"/>
                <w:sz w:val="18"/>
                <w:szCs w:val="18"/>
                <w:u w:val="none"/>
              </w:rPr>
            </w:pPr>
          </w:p>
        </w:tc>
        <w:tc>
          <w:tcPr>
            <w:tcW w:w="2547" w:type="dxa"/>
            <w:gridSpan w:val="3"/>
            <w:tcBorders>
              <w:top w:val="nil"/>
              <w:left w:val="nil"/>
              <w:bottom w:val="nil"/>
              <w:right w:val="nil"/>
            </w:tcBorders>
            <w:shd w:val="clear" w:color="auto" w:fill="FFFFFF"/>
            <w:vAlign w:val="bottom"/>
          </w:tcPr>
          <w:p w14:paraId="2E749D09">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p>
        </w:tc>
      </w:tr>
      <w:tr w14:paraId="76FA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0DA7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CF1D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项目编码</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57F2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6854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34F3B">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计量</w:t>
            </w:r>
          </w:p>
          <w:p w14:paraId="3A93DA8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7C1A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42EB4">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综合单价</w:t>
            </w:r>
          </w:p>
          <w:p w14:paraId="41A7D72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AEFCF5">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合价</w:t>
            </w:r>
          </w:p>
          <w:p w14:paraId="0B6EBB9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37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BBAD0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其中(元)</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95A4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7042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8C1D1">
            <w:pPr>
              <w:jc w:val="center"/>
              <w:rPr>
                <w:rFonts w:hint="eastAsia" w:ascii="宋体" w:hAnsi="宋体" w:eastAsia="宋体" w:cs="宋体"/>
                <w:b/>
                <w:bCs/>
                <w:i w:val="0"/>
                <w:iCs w:val="0"/>
                <w:color w:val="auto"/>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16741">
            <w:pPr>
              <w:jc w:val="center"/>
              <w:rPr>
                <w:rFonts w:hint="eastAsia" w:ascii="宋体" w:hAnsi="宋体" w:eastAsia="宋体" w:cs="宋体"/>
                <w:b/>
                <w:bCs/>
                <w:i w:val="0"/>
                <w:iCs w:val="0"/>
                <w:color w:val="auto"/>
                <w:sz w:val="18"/>
                <w:szCs w:val="18"/>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B1386">
            <w:pPr>
              <w:jc w:val="center"/>
              <w:rPr>
                <w:rFonts w:hint="eastAsia" w:ascii="宋体" w:hAnsi="宋体" w:eastAsia="宋体" w:cs="宋体"/>
                <w:b/>
                <w:bCs/>
                <w:i w:val="0"/>
                <w:iCs w:val="0"/>
                <w:color w:val="auto"/>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4B76C">
            <w:pPr>
              <w:jc w:val="center"/>
              <w:rPr>
                <w:rFonts w:hint="eastAsia" w:ascii="宋体" w:hAnsi="宋体" w:eastAsia="宋体" w:cs="宋体"/>
                <w:b/>
                <w:bCs/>
                <w:i w:val="0"/>
                <w:iCs w:val="0"/>
                <w:color w:val="auto"/>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B6D63">
            <w:pPr>
              <w:jc w:val="center"/>
              <w:rPr>
                <w:rFonts w:hint="eastAsia" w:ascii="宋体" w:hAnsi="宋体" w:eastAsia="宋体" w:cs="宋体"/>
                <w:b/>
                <w:bCs/>
                <w:i w:val="0"/>
                <w:iCs w:val="0"/>
                <w:color w:val="auto"/>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8D3B6">
            <w:pPr>
              <w:jc w:val="center"/>
              <w:rPr>
                <w:rFonts w:hint="eastAsia" w:ascii="宋体" w:hAnsi="宋体" w:eastAsia="宋体" w:cs="宋体"/>
                <w:b/>
                <w:bCs/>
                <w:i w:val="0"/>
                <w:iCs w:val="0"/>
                <w:color w:val="auto"/>
                <w:sz w:val="18"/>
                <w:szCs w:val="18"/>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7BB9B">
            <w:pPr>
              <w:jc w:val="center"/>
              <w:rPr>
                <w:rFonts w:hint="eastAsia" w:ascii="宋体" w:hAnsi="宋体" w:eastAsia="宋体" w:cs="宋体"/>
                <w:b/>
                <w:bCs/>
                <w:i w:val="0"/>
                <w:iCs w:val="0"/>
                <w:color w:val="auto"/>
                <w:sz w:val="18"/>
                <w:szCs w:val="18"/>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683E2">
            <w:pPr>
              <w:jc w:val="center"/>
              <w:rPr>
                <w:rFonts w:hint="eastAsia" w:ascii="宋体" w:hAnsi="宋体" w:eastAsia="宋体" w:cs="宋体"/>
                <w:b/>
                <w:bCs/>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09D0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投标人工费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45DC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人工费价差</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ECD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投标机械费</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30BF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机械费价差</w:t>
            </w: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4DCB6">
            <w:pPr>
              <w:jc w:val="center"/>
              <w:rPr>
                <w:rFonts w:hint="eastAsia" w:ascii="宋体" w:hAnsi="宋体" w:eastAsia="宋体" w:cs="宋体"/>
                <w:b/>
                <w:bCs/>
                <w:i w:val="0"/>
                <w:iCs w:val="0"/>
                <w:color w:val="auto"/>
                <w:sz w:val="18"/>
                <w:szCs w:val="18"/>
                <w:u w:val="none"/>
              </w:rPr>
            </w:pPr>
          </w:p>
        </w:tc>
      </w:tr>
      <w:tr w14:paraId="4DB3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024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10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81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DC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1、脚手架搭拆费第四册。</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551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66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6DA7">
            <w:pPr>
              <w:jc w:val="center"/>
              <w:rPr>
                <w:rFonts w:hint="eastAsia" w:ascii="Arial" w:hAnsi="Arial" w:eastAsia="宋体" w:cs="Arial"/>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001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nil"/>
            </w:tcBorders>
            <w:shd w:val="clear" w:color="auto" w:fill="FFFFFF"/>
            <w:vAlign w:val="center"/>
          </w:tcPr>
          <w:p w14:paraId="69B2E9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BC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8B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DF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3D64">
            <w:pPr>
              <w:jc w:val="left"/>
              <w:rPr>
                <w:rFonts w:hint="eastAsia" w:ascii="宋体" w:hAnsi="宋体" w:eastAsia="宋体" w:cs="宋体"/>
                <w:i w:val="0"/>
                <w:iCs w:val="0"/>
                <w:color w:val="auto"/>
                <w:sz w:val="18"/>
                <w:szCs w:val="18"/>
                <w:u w:val="none"/>
              </w:rPr>
            </w:pPr>
          </w:p>
        </w:tc>
      </w:tr>
      <w:tr w14:paraId="654C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3C1C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71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031301017002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50E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2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8AE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1、脚手架搭拆费第五册。</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E27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DE8D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ED9C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31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856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0D0B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B311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356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974C">
            <w:pPr>
              <w:jc w:val="right"/>
              <w:rPr>
                <w:rFonts w:hint="eastAsia" w:ascii="宋体" w:hAnsi="宋体" w:eastAsia="宋体" w:cs="宋体"/>
                <w:i w:val="0"/>
                <w:iCs w:val="0"/>
                <w:color w:val="auto"/>
                <w:sz w:val="18"/>
                <w:szCs w:val="18"/>
                <w:u w:val="none"/>
              </w:rPr>
            </w:pPr>
          </w:p>
        </w:tc>
      </w:tr>
      <w:tr w14:paraId="5C34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73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41E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   计</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5D2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725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1F8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A73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7F8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B764F">
            <w:pPr>
              <w:jc w:val="left"/>
              <w:rPr>
                <w:rFonts w:hint="eastAsia" w:ascii="宋体" w:hAnsi="宋体" w:eastAsia="宋体" w:cs="宋体"/>
                <w:i w:val="0"/>
                <w:iCs w:val="0"/>
                <w:color w:val="auto"/>
                <w:sz w:val="18"/>
                <w:szCs w:val="18"/>
                <w:u w:val="none"/>
              </w:rPr>
            </w:pPr>
          </w:p>
        </w:tc>
      </w:tr>
    </w:tbl>
    <w:p w14:paraId="7315B877">
      <w:pPr>
        <w:widowControl/>
        <w:snapToGrid w:val="0"/>
        <w:spacing w:line="300" w:lineRule="exact"/>
        <w:rPr>
          <w:color w:val="auto"/>
          <w:sz w:val="18"/>
          <w:szCs w:val="18"/>
        </w:rPr>
      </w:pPr>
      <w:r>
        <w:rPr>
          <w:rFonts w:hint="eastAsia"/>
          <w:b/>
          <w:color w:val="auto"/>
          <w:sz w:val="18"/>
          <w:szCs w:val="18"/>
        </w:rPr>
        <w:t>注：</w:t>
      </w:r>
      <w:r>
        <w:rPr>
          <w:rFonts w:hint="eastAsia" w:ascii="宋体"/>
          <w:b/>
          <w:color w:val="auto"/>
          <w:sz w:val="18"/>
          <w:szCs w:val="18"/>
        </w:rPr>
        <w:t>1、表所填内容应根据投标人实际情况填写。如有漏报的，视同已包含在投标报（总）价内或已作优惠处理。有重大缺项的将作无效标处理。</w:t>
      </w:r>
    </w:p>
    <w:p w14:paraId="59D8BC40">
      <w:pPr>
        <w:snapToGrid w:val="0"/>
        <w:spacing w:before="50" w:after="50"/>
        <w:ind w:right="-1400" w:rightChars="-389"/>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磋商供应商代表（签字或盖章）：</w:t>
      </w:r>
    </w:p>
    <w:p w14:paraId="4DC5F439">
      <w:pPr>
        <w:snapToGrid w:val="0"/>
        <w:spacing w:before="50" w:after="50"/>
        <w:ind w:right="-1400" w:rightChars="-389"/>
        <w:rPr>
          <w:rFonts w:ascii="宋体" w:hAnsi="宋体" w:eastAsia="宋体" w:cs="宋体"/>
          <w:color w:val="auto"/>
          <w:sz w:val="18"/>
          <w:szCs w:val="18"/>
        </w:rPr>
      </w:pPr>
      <w:r>
        <w:rPr>
          <w:rFonts w:hint="eastAsia" w:hAnsi="宋体" w:eastAsia="宋体"/>
          <w:color w:val="auto"/>
          <w:sz w:val="18"/>
          <w:szCs w:val="18"/>
        </w:rPr>
        <w:t xml:space="preserve">磋商供应商名称（盖章）：                                                     </w:t>
      </w:r>
      <w:r>
        <w:rPr>
          <w:rFonts w:hint="eastAsia" w:hAnsi="宋体" w:eastAsia="宋体" w:cs="宋体"/>
          <w:color w:val="auto"/>
          <w:sz w:val="18"/>
          <w:szCs w:val="18"/>
        </w:rPr>
        <w:t xml:space="preserve">日期：   </w:t>
      </w:r>
    </w:p>
    <w:p w14:paraId="759B332C">
      <w:pPr>
        <w:pStyle w:val="25"/>
        <w:rPr>
          <w:rFonts w:ascii="宋体" w:hAnsi="宋体" w:eastAsia="宋体" w:cs="宋体"/>
          <w:color w:val="auto"/>
          <w:sz w:val="18"/>
          <w:szCs w:val="18"/>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26"/>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2998"/>
        <w:gridCol w:w="2487"/>
        <w:gridCol w:w="1680"/>
        <w:gridCol w:w="1112"/>
      </w:tblGrid>
      <w:tr w14:paraId="52B5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9080" w:type="dxa"/>
            <w:gridSpan w:val="5"/>
            <w:tcBorders>
              <w:top w:val="nil"/>
              <w:left w:val="nil"/>
              <w:bottom w:val="nil"/>
              <w:right w:val="nil"/>
            </w:tcBorders>
            <w:shd w:val="clear" w:color="auto" w:fill="FFFFFF"/>
            <w:vAlign w:val="center"/>
          </w:tcPr>
          <w:p w14:paraId="45318C58">
            <w:pPr>
              <w:keepNext w:val="0"/>
              <w:keepLines w:val="0"/>
              <w:widowControl/>
              <w:suppressLineNumbers w:val="0"/>
              <w:jc w:val="center"/>
              <w:textAlignment w:val="center"/>
              <w:rPr>
                <w:rFonts w:ascii="黑体" w:hAnsi="宋体" w:eastAsia="黑体" w:cs="黑体"/>
                <w:b/>
                <w:bCs/>
                <w:i w:val="0"/>
                <w:iCs w:val="0"/>
                <w:color w:val="auto"/>
                <w:sz w:val="36"/>
                <w:szCs w:val="36"/>
                <w:u w:val="none"/>
              </w:rPr>
            </w:pPr>
            <w:r>
              <w:rPr>
                <w:rFonts w:hint="default" w:ascii="黑体" w:hAnsi="宋体" w:eastAsia="黑体" w:cs="黑体"/>
                <w:b/>
                <w:bCs/>
                <w:i w:val="0"/>
                <w:iCs w:val="0"/>
                <w:color w:val="auto"/>
                <w:kern w:val="0"/>
                <w:sz w:val="36"/>
                <w:szCs w:val="36"/>
                <w:u w:val="none"/>
                <w:lang w:val="en-US" w:eastAsia="zh-CN" w:bidi="ar"/>
              </w:rPr>
              <w:t>施工组织措施项目</w:t>
            </w:r>
            <w:r>
              <w:rPr>
                <w:rFonts w:hint="eastAsia" w:ascii="黑体" w:hAnsi="宋体" w:eastAsia="黑体" w:cs="黑体"/>
                <w:b/>
                <w:bCs/>
                <w:i w:val="0"/>
                <w:iCs w:val="0"/>
                <w:color w:val="auto"/>
                <w:kern w:val="0"/>
                <w:sz w:val="36"/>
                <w:szCs w:val="36"/>
                <w:u w:val="none"/>
                <w:lang w:val="en-US" w:eastAsia="zh-CN" w:bidi="ar"/>
              </w:rPr>
              <w:t>清单与报价表</w:t>
            </w:r>
          </w:p>
        </w:tc>
      </w:tr>
      <w:tr w14:paraId="7671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288" w:type="dxa"/>
            <w:gridSpan w:val="3"/>
            <w:tcBorders>
              <w:top w:val="nil"/>
              <w:left w:val="nil"/>
              <w:bottom w:val="nil"/>
              <w:right w:val="nil"/>
            </w:tcBorders>
            <w:shd w:val="clear" w:color="auto" w:fill="FFFFFF"/>
            <w:vAlign w:val="bottom"/>
          </w:tcPr>
          <w:p w14:paraId="675AD903">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单位工程（专业）：北城办事处改造工程-通用安装工程</w:t>
            </w:r>
          </w:p>
        </w:tc>
        <w:tc>
          <w:tcPr>
            <w:tcW w:w="2792" w:type="dxa"/>
            <w:gridSpan w:val="2"/>
            <w:tcBorders>
              <w:top w:val="nil"/>
              <w:left w:val="nil"/>
              <w:bottom w:val="nil"/>
              <w:right w:val="nil"/>
            </w:tcBorders>
            <w:shd w:val="clear" w:color="auto" w:fill="FFFFFF"/>
            <w:vAlign w:val="bottom"/>
          </w:tcPr>
          <w:p w14:paraId="5893316A">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 1 页 共 1 页</w:t>
            </w:r>
          </w:p>
        </w:tc>
      </w:tr>
      <w:tr w14:paraId="297A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7A6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E0FC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F4A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计算基础</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3170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费率(%)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1FEF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金额(元)</w:t>
            </w:r>
          </w:p>
        </w:tc>
      </w:tr>
      <w:tr w14:paraId="5352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BB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E9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安全文明施工费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E7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475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F93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r w14:paraId="5D49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8D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25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提前竣工增加费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97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8EA67">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0C96">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6279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B7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4A2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二次搬运费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7DD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6EC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4E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48BA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D1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6FF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冬雨季施工增加费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B55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投标人工费+投标机械费</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D54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70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r>
      <w:tr w14:paraId="5C60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135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B0B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行车、行人干扰增加费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23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42880">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76AF">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0A4E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941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373D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其他施工组织措施费</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1C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6E4D">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C9B8">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highlight w:val="none"/>
                <w:u w:val="none"/>
                <w:lang w:val="en-US" w:eastAsia="zh-CN"/>
              </w:rPr>
              <w:t>/</w:t>
            </w:r>
          </w:p>
        </w:tc>
      </w:tr>
      <w:tr w14:paraId="1A22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6517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150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p>
        </w:tc>
      </w:tr>
    </w:tbl>
    <w:p w14:paraId="0FE917F9">
      <w:pPr>
        <w:widowControl/>
        <w:snapToGrid w:val="0"/>
        <w:spacing w:line="300" w:lineRule="exact"/>
        <w:rPr>
          <w:rFonts w:hAnsi="宋体" w:eastAsia="宋体"/>
          <w:color w:val="auto"/>
          <w:sz w:val="24"/>
        </w:rPr>
      </w:pPr>
      <w:r>
        <w:rPr>
          <w:rFonts w:hint="eastAsia"/>
          <w:b/>
          <w:color w:val="auto"/>
          <w:sz w:val="24"/>
        </w:rPr>
        <w:t>注：</w:t>
      </w:r>
      <w:r>
        <w:rPr>
          <w:rFonts w:hint="eastAsia" w:ascii="宋体"/>
          <w:b/>
          <w:color w:val="auto"/>
          <w:sz w:val="24"/>
        </w:rPr>
        <w:t>1、表所填内容应根据投标人实际情况填写。如有漏报的，视同已包含在投标报（总）价内或已作优惠处理。有重大缺项的将作无效标处理。</w:t>
      </w:r>
    </w:p>
    <w:p w14:paraId="44EBC213">
      <w:pPr>
        <w:snapToGrid w:val="0"/>
        <w:spacing w:before="50" w:after="50"/>
        <w:ind w:right="-1400" w:rightChars="-389"/>
        <w:rPr>
          <w:rFonts w:hint="eastAsia" w:eastAsia="宋体"/>
          <w:color w:val="auto"/>
          <w:lang w:eastAsia="zh-CN"/>
        </w:rPr>
      </w:pPr>
      <w:r>
        <w:rPr>
          <w:rFonts w:hint="eastAsia" w:ascii="宋体" w:hAnsi="宋体" w:eastAsia="宋体" w:cs="宋体"/>
          <w:color w:val="auto"/>
          <w:sz w:val="24"/>
          <w:lang w:eastAsia="zh-CN"/>
        </w:rPr>
        <w:t>磋商供应商代表（签字或盖章）：</w:t>
      </w:r>
    </w:p>
    <w:p w14:paraId="2819212D">
      <w:pPr>
        <w:spacing w:line="450" w:lineRule="atLeast"/>
        <w:rPr>
          <w:rFonts w:hint="eastAsia" w:ascii="宋体" w:hAnsi="宋体" w:eastAsia="宋体" w:cs="宋体"/>
          <w:color w:val="auto"/>
          <w:sz w:val="24"/>
          <w:szCs w:val="24"/>
        </w:rPr>
      </w:pPr>
      <w:r>
        <w:rPr>
          <w:rFonts w:hint="eastAsia" w:hAnsi="宋体" w:eastAsia="宋体"/>
          <w:color w:val="auto"/>
          <w:sz w:val="24"/>
        </w:rPr>
        <w:t xml:space="preserve">磋商供应商名称（盖章）：                                </w:t>
      </w:r>
      <w:r>
        <w:rPr>
          <w:rFonts w:hint="eastAsia" w:ascii="宋体" w:hAnsi="宋体" w:eastAsia="宋体" w:cs="宋体"/>
          <w:color w:val="auto"/>
          <w:sz w:val="24"/>
          <w:szCs w:val="24"/>
        </w:rPr>
        <w:t xml:space="preserve">日期：    </w:t>
      </w:r>
    </w:p>
    <w:p w14:paraId="3C48FD33">
      <w:pPr>
        <w:spacing w:line="450" w:lineRule="atLeast"/>
        <w:rPr>
          <w:rFonts w:hint="eastAsia" w:ascii="宋体" w:hAnsi="宋体" w:eastAsia="宋体" w:cs="宋体"/>
          <w:color w:val="auto"/>
          <w:sz w:val="24"/>
          <w:szCs w:val="24"/>
        </w:rPr>
      </w:pPr>
    </w:p>
    <w:p w14:paraId="1480F4BA">
      <w:pPr>
        <w:spacing w:line="450" w:lineRule="atLeast"/>
        <w:rPr>
          <w:rFonts w:hint="eastAsia" w:ascii="宋体" w:hAnsi="宋体" w:eastAsia="宋体" w:cs="宋体"/>
          <w:color w:val="auto"/>
          <w:sz w:val="24"/>
          <w:szCs w:val="24"/>
        </w:rPr>
      </w:pPr>
    </w:p>
    <w:p w14:paraId="34133F35">
      <w:pPr>
        <w:spacing w:line="450" w:lineRule="atLeast"/>
        <w:rPr>
          <w:rFonts w:hint="eastAsia" w:ascii="宋体" w:hAnsi="宋体" w:eastAsia="宋体" w:cs="宋体"/>
          <w:color w:val="auto"/>
          <w:sz w:val="24"/>
          <w:szCs w:val="24"/>
        </w:rPr>
      </w:pPr>
    </w:p>
    <w:p w14:paraId="5ACF5BE9">
      <w:pPr>
        <w:spacing w:line="450" w:lineRule="atLeast"/>
        <w:rPr>
          <w:rFonts w:hint="eastAsia" w:ascii="宋体" w:hAnsi="宋体" w:eastAsia="宋体" w:cs="宋体"/>
          <w:color w:val="auto"/>
          <w:sz w:val="24"/>
          <w:szCs w:val="24"/>
        </w:rPr>
      </w:pPr>
    </w:p>
    <w:p w14:paraId="4A5C0C89">
      <w:pPr>
        <w:spacing w:line="450" w:lineRule="atLeast"/>
        <w:rPr>
          <w:rFonts w:hint="eastAsia" w:ascii="宋体" w:hAnsi="宋体" w:eastAsia="宋体" w:cs="宋体"/>
          <w:color w:val="auto"/>
          <w:sz w:val="24"/>
          <w:szCs w:val="24"/>
        </w:rPr>
      </w:pPr>
    </w:p>
    <w:p w14:paraId="23FF10C5">
      <w:pPr>
        <w:spacing w:line="450" w:lineRule="atLeast"/>
        <w:rPr>
          <w:rFonts w:hint="eastAsia" w:ascii="宋体" w:hAnsi="宋体" w:eastAsia="宋体" w:cs="宋体"/>
          <w:color w:val="auto"/>
          <w:sz w:val="24"/>
          <w:szCs w:val="24"/>
        </w:rPr>
      </w:pPr>
    </w:p>
    <w:p w14:paraId="3A91C6CF">
      <w:pPr>
        <w:spacing w:line="450" w:lineRule="atLeast"/>
        <w:rPr>
          <w:rFonts w:hint="eastAsia" w:ascii="宋体" w:hAnsi="宋体" w:eastAsia="宋体" w:cs="宋体"/>
          <w:color w:val="auto"/>
          <w:sz w:val="24"/>
          <w:szCs w:val="24"/>
        </w:rPr>
      </w:pPr>
    </w:p>
    <w:p w14:paraId="353ED412">
      <w:pPr>
        <w:spacing w:line="450" w:lineRule="atLeast"/>
        <w:rPr>
          <w:rFonts w:hint="eastAsia" w:ascii="宋体" w:hAnsi="宋体" w:eastAsia="宋体" w:cs="宋体"/>
          <w:color w:val="auto"/>
          <w:sz w:val="24"/>
          <w:szCs w:val="24"/>
        </w:rPr>
      </w:pPr>
    </w:p>
    <w:p w14:paraId="0B3B1EB1">
      <w:pPr>
        <w:spacing w:line="450" w:lineRule="atLeast"/>
        <w:rPr>
          <w:rFonts w:hint="eastAsia" w:ascii="宋体" w:hAnsi="宋体" w:eastAsia="宋体" w:cs="宋体"/>
          <w:color w:val="auto"/>
          <w:sz w:val="24"/>
          <w:szCs w:val="24"/>
        </w:rPr>
      </w:pPr>
    </w:p>
    <w:p w14:paraId="279447E3">
      <w:pPr>
        <w:spacing w:line="450" w:lineRule="atLeast"/>
        <w:rPr>
          <w:rFonts w:hint="eastAsia" w:ascii="宋体" w:hAnsi="宋体" w:eastAsia="宋体" w:cs="宋体"/>
          <w:color w:val="auto"/>
          <w:sz w:val="24"/>
          <w:szCs w:val="24"/>
        </w:rPr>
      </w:pPr>
    </w:p>
    <w:p w14:paraId="6236D61E">
      <w:pPr>
        <w:spacing w:line="450" w:lineRule="atLeast"/>
        <w:rPr>
          <w:rFonts w:hint="eastAsia" w:ascii="宋体" w:hAnsi="宋体" w:eastAsia="宋体" w:cs="宋体"/>
          <w:color w:val="auto"/>
          <w:sz w:val="24"/>
          <w:szCs w:val="24"/>
        </w:rPr>
      </w:pPr>
    </w:p>
    <w:p w14:paraId="74973600">
      <w:pPr>
        <w:spacing w:line="450" w:lineRule="atLeast"/>
        <w:rPr>
          <w:rFonts w:ascii="宋体" w:hAnsi="宋体" w:eastAsia="宋体" w:cs="宋体"/>
          <w:b/>
          <w:color w:val="auto"/>
          <w:sz w:val="24"/>
        </w:rPr>
      </w:pPr>
      <w:r>
        <w:rPr>
          <w:rFonts w:hint="eastAsia" w:ascii="宋体" w:hAnsi="宋体" w:eastAsia="宋体" w:cs="宋体"/>
          <w:b/>
          <w:color w:val="auto"/>
          <w:sz w:val="24"/>
        </w:rPr>
        <w:t>附件十</w:t>
      </w:r>
      <w:r>
        <w:rPr>
          <w:rFonts w:hint="eastAsia" w:ascii="宋体" w:hAnsi="宋体" w:eastAsia="宋体" w:cs="宋体"/>
          <w:b/>
          <w:color w:val="auto"/>
          <w:sz w:val="24"/>
          <w:lang w:eastAsia="zh-CN"/>
        </w:rPr>
        <w:t>一</w:t>
      </w:r>
      <w:r>
        <w:rPr>
          <w:rFonts w:hint="eastAsia" w:ascii="宋体" w:hAnsi="宋体" w:eastAsia="宋体" w:cs="宋体"/>
          <w:b/>
          <w:color w:val="auto"/>
          <w:sz w:val="24"/>
        </w:rPr>
        <w:t>：</w:t>
      </w:r>
    </w:p>
    <w:p w14:paraId="549FFBBC">
      <w:pPr>
        <w:spacing w:line="360" w:lineRule="auto"/>
        <w:jc w:val="center"/>
        <w:rPr>
          <w:rFonts w:ascii="宋体" w:hAnsi="宋体"/>
          <w:b/>
          <w:color w:val="auto"/>
          <w:sz w:val="32"/>
          <w:szCs w:val="32"/>
        </w:rPr>
      </w:pPr>
      <w:r>
        <w:rPr>
          <w:rFonts w:hint="eastAsia" w:ascii="宋体" w:hAnsi="宋体"/>
          <w:b/>
          <w:color w:val="auto"/>
          <w:sz w:val="32"/>
          <w:szCs w:val="32"/>
        </w:rPr>
        <w:t>中小企业声明函</w:t>
      </w:r>
    </w:p>
    <w:p w14:paraId="41B6ED46">
      <w:pPr>
        <w:spacing w:line="360" w:lineRule="auto"/>
        <w:ind w:firstLine="480" w:firstLineChars="200"/>
        <w:jc w:val="left"/>
        <w:rPr>
          <w:rFonts w:ascii="宋体" w:hAnsi="宋体"/>
          <w:bCs/>
          <w:color w:val="auto"/>
          <w:sz w:val="24"/>
        </w:rPr>
      </w:pPr>
      <w:r>
        <w:rPr>
          <w:rFonts w:hint="eastAsia" w:ascii="宋体" w:hAnsi="宋体"/>
          <w:bCs/>
          <w:color w:val="auto"/>
          <w:sz w:val="24"/>
        </w:rPr>
        <w:t>本公司郑重声明，根据《政府采购促进中小企业发展管理办法》（财库﹝2020﹞46 号）的规定，本公司参加</w:t>
      </w:r>
      <w:r>
        <w:rPr>
          <w:rFonts w:hint="eastAsia" w:ascii="宋体" w:hAnsi="宋体" w:eastAsia="宋体"/>
          <w:bCs/>
          <w:color w:val="auto"/>
          <w:sz w:val="24"/>
          <w:u w:val="single"/>
          <w:lang w:eastAsia="zh-CN"/>
        </w:rPr>
        <w:t>台州市黄岩区人民政府北城街道办事处</w:t>
      </w:r>
      <w:r>
        <w:rPr>
          <w:rFonts w:hint="eastAsia" w:ascii="宋体" w:hAnsi="宋体"/>
          <w:bCs/>
          <w:color w:val="auto"/>
          <w:sz w:val="24"/>
        </w:rPr>
        <w:t>的</w:t>
      </w:r>
      <w:r>
        <w:rPr>
          <w:rFonts w:hint="eastAsia" w:ascii="宋体" w:hAnsi="宋体" w:eastAsia="宋体"/>
          <w:bCs/>
          <w:color w:val="auto"/>
          <w:sz w:val="24"/>
          <w:u w:val="single"/>
          <w:lang w:eastAsia="zh-CN"/>
        </w:rPr>
        <w:t>北城办事处改造工程</w:t>
      </w:r>
      <w:r>
        <w:rPr>
          <w:rFonts w:hint="eastAsia" w:ascii="宋体" w:hAnsi="宋体"/>
          <w:bCs/>
          <w:color w:val="auto"/>
          <w:sz w:val="24"/>
        </w:rPr>
        <w:t>采购活动，工程的施工单位全部为符合政策要求的中小企业（。相关企业的具体情况如下：</w:t>
      </w:r>
    </w:p>
    <w:p w14:paraId="0B1DBBB8">
      <w:pPr>
        <w:spacing w:line="360" w:lineRule="auto"/>
        <w:ind w:firstLine="480" w:firstLineChars="200"/>
        <w:jc w:val="left"/>
        <w:rPr>
          <w:rFonts w:ascii="宋体" w:hAnsi="宋体"/>
          <w:bCs/>
          <w:color w:val="auto"/>
          <w:sz w:val="24"/>
        </w:rPr>
      </w:pPr>
      <w:r>
        <w:rPr>
          <w:rFonts w:hint="eastAsia" w:ascii="宋体" w:hAnsi="宋体"/>
          <w:bCs/>
          <w:color w:val="auto"/>
          <w:sz w:val="24"/>
        </w:rPr>
        <w:t>1.</w:t>
      </w:r>
      <w:r>
        <w:rPr>
          <w:rFonts w:hint="eastAsia" w:ascii="宋体" w:hAnsi="宋体" w:eastAsia="宋体"/>
          <w:bCs/>
          <w:color w:val="auto"/>
          <w:sz w:val="24"/>
          <w:u w:val="single"/>
          <w:lang w:eastAsia="zh-CN"/>
        </w:rPr>
        <w:t>北城办事处改造工程</w:t>
      </w:r>
      <w:r>
        <w:rPr>
          <w:rFonts w:hint="eastAsia" w:ascii="宋体" w:hAnsi="宋体"/>
          <w:bCs/>
          <w:color w:val="auto"/>
          <w:sz w:val="24"/>
        </w:rPr>
        <w:t>，属于</w:t>
      </w:r>
      <w:r>
        <w:rPr>
          <w:rFonts w:hint="eastAsia" w:ascii="宋体" w:hAnsi="宋体" w:eastAsia="宋体"/>
          <w:bCs/>
          <w:color w:val="auto"/>
          <w:sz w:val="24"/>
          <w:u w:val="single"/>
          <w:lang w:eastAsia="zh-CN"/>
        </w:rPr>
        <w:t>建筑业</w:t>
      </w:r>
      <w:r>
        <w:rPr>
          <w:rFonts w:hint="eastAsia" w:ascii="宋体" w:hAnsi="宋体"/>
          <w:bCs/>
          <w:color w:val="auto"/>
          <w:sz w:val="24"/>
        </w:rPr>
        <w:t>；承建（承接）企业为</w:t>
      </w:r>
      <w:r>
        <w:rPr>
          <w:rFonts w:hint="eastAsia" w:ascii="宋体" w:hAnsi="宋体"/>
          <w:bCs/>
          <w:color w:val="auto"/>
          <w:sz w:val="24"/>
          <w:u w:val="single"/>
        </w:rPr>
        <w:t>（企业名称）</w:t>
      </w:r>
      <w:r>
        <w:rPr>
          <w:rFonts w:hint="eastAsia" w:ascii="宋体" w:hAnsi="宋体"/>
          <w:bCs/>
          <w:color w:val="auto"/>
          <w:sz w:val="24"/>
        </w:rPr>
        <w:t>，从业人员</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人，营业收入为</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万元，资产总额为</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万元</w:t>
      </w:r>
      <w:r>
        <w:rPr>
          <w:rStyle w:val="32"/>
          <w:rFonts w:hint="eastAsia" w:ascii="宋体" w:hAnsi="宋体"/>
          <w:bCs/>
          <w:color w:val="auto"/>
          <w:sz w:val="24"/>
        </w:rPr>
        <w:footnoteReference w:id="0"/>
      </w:r>
      <w:r>
        <w:rPr>
          <w:rFonts w:hint="eastAsia" w:ascii="宋体" w:hAnsi="宋体"/>
          <w:bCs/>
          <w:color w:val="auto"/>
          <w:sz w:val="24"/>
        </w:rPr>
        <w:t>，属于</w:t>
      </w:r>
      <w:r>
        <w:rPr>
          <w:rFonts w:hint="eastAsia" w:ascii="宋体" w:hAnsi="宋体"/>
          <w:bCs/>
          <w:color w:val="auto"/>
          <w:sz w:val="24"/>
          <w:u w:val="single"/>
        </w:rPr>
        <w:t>（中型企业、小型企业、微型企业）</w:t>
      </w:r>
      <w:r>
        <w:rPr>
          <w:rFonts w:hint="eastAsia" w:ascii="宋体" w:hAnsi="宋体"/>
          <w:bCs/>
          <w:color w:val="auto"/>
          <w:sz w:val="24"/>
        </w:rPr>
        <w:t>；</w:t>
      </w:r>
    </w:p>
    <w:p w14:paraId="3365852C">
      <w:pPr>
        <w:spacing w:line="360" w:lineRule="auto"/>
        <w:ind w:firstLine="480" w:firstLineChars="200"/>
        <w:jc w:val="left"/>
        <w:rPr>
          <w:rFonts w:ascii="宋体" w:hAnsi="宋体"/>
          <w:bCs/>
          <w:color w:val="auto"/>
          <w:sz w:val="24"/>
        </w:rPr>
      </w:pPr>
      <w:r>
        <w:rPr>
          <w:rFonts w:hint="eastAsia" w:ascii="宋体" w:hAnsi="宋体"/>
          <w:bCs/>
          <w:color w:val="auto"/>
          <w:sz w:val="24"/>
        </w:rPr>
        <w:t>2.</w:t>
      </w:r>
      <w:r>
        <w:rPr>
          <w:rFonts w:hint="eastAsia" w:ascii="宋体" w:hAnsi="宋体"/>
          <w:bCs/>
          <w:color w:val="auto"/>
          <w:sz w:val="24"/>
          <w:u w:val="single"/>
        </w:rPr>
        <w:t>（标的名称）</w:t>
      </w:r>
      <w:r>
        <w:rPr>
          <w:rFonts w:hint="eastAsia" w:ascii="宋体" w:hAnsi="宋体"/>
          <w:bCs/>
          <w:color w:val="auto"/>
          <w:sz w:val="24"/>
        </w:rPr>
        <w:t>，属于</w:t>
      </w:r>
      <w:r>
        <w:rPr>
          <w:rFonts w:hint="eastAsia" w:ascii="宋体" w:hAnsi="宋体"/>
          <w:bCs/>
          <w:color w:val="auto"/>
          <w:sz w:val="24"/>
          <w:u w:val="single"/>
        </w:rPr>
        <w:t>（采购文件中明确的所属行业）</w:t>
      </w:r>
      <w:r>
        <w:rPr>
          <w:rFonts w:hint="eastAsia" w:ascii="宋体" w:hAnsi="宋体"/>
          <w:bCs/>
          <w:color w:val="auto"/>
          <w:sz w:val="24"/>
        </w:rPr>
        <w:t>；承建（承接）企业为</w:t>
      </w:r>
      <w:r>
        <w:rPr>
          <w:rFonts w:hint="eastAsia" w:ascii="宋体" w:hAnsi="宋体"/>
          <w:bCs/>
          <w:color w:val="auto"/>
          <w:sz w:val="24"/>
          <w:u w:val="single"/>
        </w:rPr>
        <w:t>（企业名称）</w:t>
      </w:r>
      <w:r>
        <w:rPr>
          <w:rFonts w:hint="eastAsia" w:ascii="宋体" w:hAnsi="宋体"/>
          <w:bCs/>
          <w:color w:val="auto"/>
          <w:sz w:val="24"/>
        </w:rPr>
        <w:t>，从业人员</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人，营业收入为</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万元，资产总额为</w:t>
      </w:r>
      <w:r>
        <w:rPr>
          <w:rFonts w:hint="eastAsia" w:ascii="宋体" w:hAnsi="宋体" w:eastAsia="宋体"/>
          <w:bCs/>
          <w:color w:val="auto"/>
          <w:sz w:val="24"/>
          <w:u w:val="single"/>
          <w:lang w:val="en-US" w:eastAsia="zh-CN"/>
        </w:rPr>
        <w:t xml:space="preserve">    </w:t>
      </w:r>
      <w:r>
        <w:rPr>
          <w:rFonts w:hint="eastAsia" w:ascii="宋体" w:hAnsi="宋体"/>
          <w:bCs/>
          <w:color w:val="auto"/>
          <w:sz w:val="24"/>
        </w:rPr>
        <w:t>万元，属于</w:t>
      </w:r>
      <w:r>
        <w:rPr>
          <w:rFonts w:hint="eastAsia" w:ascii="宋体" w:hAnsi="宋体"/>
          <w:bCs/>
          <w:color w:val="auto"/>
          <w:sz w:val="24"/>
          <w:u w:val="single"/>
        </w:rPr>
        <w:t>（中型企业、小型企业、微型企业）</w:t>
      </w:r>
      <w:r>
        <w:rPr>
          <w:rFonts w:hint="eastAsia" w:ascii="宋体" w:hAnsi="宋体"/>
          <w:bCs/>
          <w:color w:val="auto"/>
          <w:sz w:val="24"/>
        </w:rPr>
        <w:t>；</w:t>
      </w:r>
    </w:p>
    <w:p w14:paraId="50F378B7">
      <w:pPr>
        <w:spacing w:line="360" w:lineRule="auto"/>
        <w:ind w:firstLine="480" w:firstLineChars="200"/>
        <w:jc w:val="left"/>
        <w:rPr>
          <w:rFonts w:ascii="宋体" w:hAnsi="宋体"/>
          <w:bCs/>
          <w:color w:val="auto"/>
          <w:sz w:val="24"/>
        </w:rPr>
      </w:pPr>
      <w:r>
        <w:rPr>
          <w:rFonts w:hint="eastAsia" w:ascii="宋体" w:hAnsi="宋体"/>
          <w:bCs/>
          <w:color w:val="auto"/>
          <w:sz w:val="24"/>
        </w:rPr>
        <w:t>……</w:t>
      </w:r>
    </w:p>
    <w:p w14:paraId="4400D5EC">
      <w:pPr>
        <w:spacing w:line="360" w:lineRule="auto"/>
        <w:ind w:firstLine="480" w:firstLineChars="200"/>
        <w:jc w:val="left"/>
        <w:rPr>
          <w:rFonts w:ascii="宋体" w:hAnsi="宋体"/>
          <w:bCs/>
          <w:color w:val="auto"/>
          <w:sz w:val="24"/>
        </w:rPr>
      </w:pPr>
      <w:r>
        <w:rPr>
          <w:rFonts w:hint="eastAsia" w:ascii="宋体" w:hAnsi="宋体"/>
          <w:bCs/>
          <w:color w:val="auto"/>
          <w:sz w:val="24"/>
        </w:rPr>
        <w:t>以上企业，不属于大企业的分支机构，不存在控股股东为大企业的情形，也不存在与大企业的负责人为同一人的情形。</w:t>
      </w:r>
    </w:p>
    <w:p w14:paraId="0B9900D6">
      <w:pPr>
        <w:spacing w:line="360" w:lineRule="auto"/>
        <w:ind w:firstLine="480" w:firstLineChars="200"/>
        <w:jc w:val="left"/>
        <w:rPr>
          <w:rFonts w:ascii="宋体" w:hAnsi="宋体"/>
          <w:bCs/>
          <w:color w:val="auto"/>
          <w:sz w:val="24"/>
        </w:rPr>
      </w:pPr>
      <w:r>
        <w:rPr>
          <w:rFonts w:hint="eastAsia" w:ascii="宋体" w:hAnsi="宋体"/>
          <w:bCs/>
          <w:color w:val="auto"/>
          <w:sz w:val="24"/>
        </w:rPr>
        <w:t xml:space="preserve">本企业对上述声明内容的真实性负责。如有虚假，将依法承担相应责任。 </w:t>
      </w:r>
    </w:p>
    <w:p w14:paraId="40773BFB">
      <w:pPr>
        <w:spacing w:line="360" w:lineRule="auto"/>
        <w:jc w:val="left"/>
        <w:rPr>
          <w:rFonts w:ascii="宋体" w:hAnsi="宋体"/>
          <w:bCs/>
          <w:color w:val="auto"/>
          <w:sz w:val="24"/>
        </w:rPr>
      </w:pPr>
    </w:p>
    <w:p w14:paraId="06F14B44">
      <w:pPr>
        <w:spacing w:line="360" w:lineRule="auto"/>
        <w:ind w:firstLine="4800" w:firstLineChars="2000"/>
        <w:jc w:val="left"/>
        <w:rPr>
          <w:rFonts w:ascii="宋体" w:hAnsi="宋体"/>
          <w:bCs/>
          <w:color w:val="auto"/>
          <w:sz w:val="24"/>
        </w:rPr>
      </w:pPr>
      <w:r>
        <w:rPr>
          <w:rFonts w:hint="eastAsia" w:ascii="宋体" w:hAnsi="宋体"/>
          <w:bCs/>
          <w:color w:val="auto"/>
          <w:sz w:val="24"/>
        </w:rPr>
        <w:t>企业名称（盖章）：</w:t>
      </w:r>
    </w:p>
    <w:p w14:paraId="1DE8B0BB">
      <w:pPr>
        <w:spacing w:line="360" w:lineRule="auto"/>
        <w:ind w:firstLine="4800" w:firstLineChars="2000"/>
        <w:jc w:val="left"/>
        <w:rPr>
          <w:rFonts w:ascii="宋体" w:hAnsi="宋体"/>
          <w:bCs/>
          <w:color w:val="auto"/>
          <w:sz w:val="24"/>
        </w:rPr>
      </w:pPr>
      <w:r>
        <w:rPr>
          <w:rFonts w:hint="eastAsia" w:ascii="宋体" w:hAnsi="宋体"/>
          <w:bCs/>
          <w:color w:val="auto"/>
          <w:sz w:val="24"/>
        </w:rPr>
        <w:t>日 期：</w:t>
      </w:r>
    </w:p>
    <w:p w14:paraId="4A61BF28">
      <w:pPr>
        <w:spacing w:line="360" w:lineRule="auto"/>
        <w:jc w:val="left"/>
        <w:rPr>
          <w:rFonts w:ascii="宋体" w:hAnsi="宋体"/>
          <w:bCs/>
          <w:color w:val="auto"/>
          <w:sz w:val="24"/>
        </w:rPr>
      </w:pPr>
    </w:p>
    <w:p w14:paraId="7C225078">
      <w:pPr>
        <w:spacing w:line="360" w:lineRule="auto"/>
        <w:jc w:val="left"/>
        <w:rPr>
          <w:rFonts w:ascii="宋体" w:hAnsi="宋体"/>
          <w:bCs/>
          <w:color w:val="auto"/>
          <w:sz w:val="24"/>
        </w:rPr>
      </w:pPr>
    </w:p>
    <w:p w14:paraId="06DF8230">
      <w:pPr>
        <w:spacing w:line="360" w:lineRule="auto"/>
        <w:jc w:val="left"/>
        <w:rPr>
          <w:rFonts w:ascii="宋体" w:hAnsi="宋体"/>
          <w:bCs/>
          <w:color w:val="auto"/>
          <w:sz w:val="24"/>
        </w:rPr>
      </w:pPr>
    </w:p>
    <w:p w14:paraId="6CBB9EEC">
      <w:pPr>
        <w:spacing w:line="360" w:lineRule="auto"/>
        <w:jc w:val="left"/>
        <w:rPr>
          <w:rFonts w:ascii="宋体" w:hAnsi="宋体"/>
          <w:bCs/>
          <w:color w:val="auto"/>
          <w:sz w:val="24"/>
        </w:rPr>
      </w:pPr>
    </w:p>
    <w:p w14:paraId="38315761">
      <w:pPr>
        <w:spacing w:line="360" w:lineRule="auto"/>
        <w:jc w:val="left"/>
        <w:rPr>
          <w:rFonts w:ascii="宋体" w:hAnsi="宋体"/>
          <w:bCs/>
          <w:color w:val="auto"/>
          <w:sz w:val="24"/>
        </w:rPr>
      </w:pPr>
    </w:p>
    <w:p w14:paraId="5BCA8CD3">
      <w:pPr>
        <w:spacing w:line="360" w:lineRule="auto"/>
        <w:jc w:val="left"/>
        <w:rPr>
          <w:rFonts w:ascii="宋体" w:hAnsi="宋体"/>
          <w:bCs/>
          <w:color w:val="auto"/>
          <w:sz w:val="24"/>
        </w:rPr>
      </w:pPr>
    </w:p>
    <w:p w14:paraId="1B55DE57">
      <w:pPr>
        <w:spacing w:line="360" w:lineRule="auto"/>
        <w:jc w:val="left"/>
        <w:rPr>
          <w:rFonts w:ascii="宋体" w:hAnsi="宋体"/>
          <w:bCs/>
          <w:color w:val="auto"/>
          <w:sz w:val="24"/>
        </w:rPr>
      </w:pPr>
    </w:p>
    <w:p w14:paraId="7865A852">
      <w:pPr>
        <w:spacing w:line="360" w:lineRule="auto"/>
        <w:jc w:val="left"/>
        <w:rPr>
          <w:rFonts w:ascii="宋体" w:hAnsi="宋体"/>
          <w:bCs/>
          <w:color w:val="auto"/>
          <w:sz w:val="24"/>
        </w:rPr>
      </w:pPr>
    </w:p>
    <w:p w14:paraId="0619F1A9">
      <w:pPr>
        <w:spacing w:line="360" w:lineRule="auto"/>
        <w:jc w:val="left"/>
        <w:rPr>
          <w:rFonts w:ascii="宋体" w:hAnsi="宋体"/>
          <w:bCs/>
          <w:color w:val="auto"/>
          <w:sz w:val="24"/>
        </w:rPr>
      </w:pPr>
    </w:p>
    <w:p w14:paraId="6B7BFAE1">
      <w:pPr>
        <w:spacing w:line="360" w:lineRule="auto"/>
        <w:ind w:left="-2" w:hanging="2"/>
        <w:jc w:val="center"/>
        <w:rPr>
          <w:rFonts w:ascii="宋体" w:hAnsi="宋体" w:eastAsia="宋体"/>
          <w:b/>
          <w:color w:val="auto"/>
          <w:sz w:val="32"/>
          <w:szCs w:val="32"/>
          <w:lang w:val="en-GB"/>
        </w:rPr>
      </w:pPr>
      <w:r>
        <w:rPr>
          <w:rFonts w:hint="eastAsia" w:ascii="宋体" w:hAnsi="宋体" w:eastAsia="宋体"/>
          <w:b/>
          <w:color w:val="auto"/>
          <w:sz w:val="32"/>
          <w:szCs w:val="32"/>
          <w:lang w:val="en-GB"/>
        </w:rPr>
        <w:t>残疾人福利性单位声明函</w:t>
      </w:r>
      <w:r>
        <w:rPr>
          <w:rFonts w:hint="eastAsia" w:ascii="宋体" w:hAnsi="宋体" w:eastAsia="宋体" w:cs="宋体"/>
          <w:b/>
          <w:bCs/>
          <w:color w:val="auto"/>
          <w:sz w:val="24"/>
        </w:rPr>
        <w:t>（如有）</w:t>
      </w:r>
    </w:p>
    <w:p w14:paraId="4675CC0D">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D1F22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2AF882A3">
      <w:pPr>
        <w:spacing w:line="360" w:lineRule="auto"/>
        <w:ind w:firstLine="480" w:firstLineChars="200"/>
        <w:rPr>
          <w:rFonts w:ascii="宋体" w:hAnsi="宋体" w:eastAsia="宋体" w:cs="宋体"/>
          <w:color w:val="auto"/>
          <w:sz w:val="24"/>
        </w:rPr>
      </w:pPr>
    </w:p>
    <w:p w14:paraId="7B3D38EE">
      <w:pPr>
        <w:spacing w:line="360" w:lineRule="auto"/>
        <w:ind w:firstLine="4560" w:firstLineChars="1900"/>
        <w:jc w:val="left"/>
        <w:rPr>
          <w:rFonts w:ascii="宋体" w:hAnsi="宋体"/>
          <w:bCs/>
          <w:color w:val="auto"/>
          <w:sz w:val="24"/>
        </w:rPr>
      </w:pPr>
      <w:r>
        <w:rPr>
          <w:rFonts w:hint="eastAsia" w:ascii="宋体" w:hAnsi="宋体"/>
          <w:bCs/>
          <w:color w:val="auto"/>
          <w:sz w:val="24"/>
        </w:rPr>
        <w:t>单位名称（单位公章）：</w:t>
      </w:r>
    </w:p>
    <w:p w14:paraId="14066B82">
      <w:pPr>
        <w:pStyle w:val="13"/>
        <w:spacing w:line="360" w:lineRule="auto"/>
        <w:jc w:val="center"/>
        <w:outlineLvl w:val="9"/>
        <w:rPr>
          <w:rFonts w:hAnsi="宋体" w:eastAsia="宋体" w:cs="宋体"/>
          <w:b/>
          <w:color w:val="auto"/>
          <w:sz w:val="24"/>
          <w:szCs w:val="24"/>
        </w:rPr>
      </w:pPr>
      <w:r>
        <w:rPr>
          <w:rFonts w:hint="eastAsia" w:hAnsi="宋体" w:eastAsia="宋体" w:cs="宋体"/>
          <w:color w:val="auto"/>
          <w:sz w:val="24"/>
          <w:szCs w:val="24"/>
          <w:lang w:val="en-US" w:eastAsia="zh-CN"/>
        </w:rPr>
        <w:t xml:space="preserve">                                                </w:t>
      </w:r>
      <w:r>
        <w:rPr>
          <w:rFonts w:hint="eastAsia" w:hAnsi="宋体" w:eastAsia="宋体" w:cs="宋体"/>
          <w:color w:val="auto"/>
          <w:sz w:val="24"/>
          <w:szCs w:val="24"/>
        </w:rPr>
        <w:t>日期∶    年   月   日</w:t>
      </w:r>
    </w:p>
    <w:p w14:paraId="14414D9B">
      <w:pPr>
        <w:pStyle w:val="3"/>
        <w:ind w:firstLine="0" w:firstLineChars="0"/>
        <w:rPr>
          <w:rFonts w:hAnsi="宋体" w:eastAsia="宋体"/>
          <w:color w:val="auto"/>
          <w:sz w:val="24"/>
          <w:lang w:val="zh-CN"/>
        </w:rPr>
      </w:pPr>
    </w:p>
    <w:bookmarkEnd w:id="532"/>
    <w:bookmarkEnd w:id="533"/>
    <w:bookmarkEnd w:id="534"/>
    <w:bookmarkEnd w:id="535"/>
    <w:bookmarkEnd w:id="536"/>
    <w:bookmarkEnd w:id="537"/>
    <w:bookmarkEnd w:id="538"/>
    <w:p w14:paraId="239A24B9">
      <w:pPr>
        <w:pStyle w:val="44"/>
        <w:spacing w:after="120" w:line="360" w:lineRule="auto"/>
        <w:outlineLvl w:val="9"/>
        <w:rPr>
          <w:rFonts w:ascii="宋体" w:hAnsi="宋体" w:eastAsia="宋体" w:cs="宋体"/>
          <w:b/>
          <w:color w:val="auto"/>
          <w:sz w:val="24"/>
        </w:rPr>
      </w:pPr>
      <w:r>
        <w:rPr>
          <w:rFonts w:hint="eastAsia" w:ascii="宋体" w:hAnsi="宋体"/>
          <w:color w:val="auto"/>
          <w:sz w:val="24"/>
        </w:rPr>
        <w:t>－－－－－－－－－－－－－－－－－－－－－－－－－－－－－－－－－－－－</w:t>
      </w:r>
    </w:p>
    <w:p w14:paraId="61D25A66">
      <w:pPr>
        <w:pStyle w:val="13"/>
        <w:spacing w:line="360" w:lineRule="auto"/>
        <w:outlineLvl w:val="9"/>
        <w:rPr>
          <w:rFonts w:hAnsi="宋体" w:eastAsia="宋体" w:cs="宋体"/>
          <w:b/>
          <w:color w:val="auto"/>
          <w:sz w:val="24"/>
          <w:szCs w:val="24"/>
        </w:rPr>
      </w:pPr>
    </w:p>
    <w:p w14:paraId="21E38DF6">
      <w:pPr>
        <w:pStyle w:val="13"/>
        <w:spacing w:line="360" w:lineRule="auto"/>
        <w:outlineLvl w:val="9"/>
        <w:rPr>
          <w:rFonts w:hAnsi="宋体" w:eastAsia="宋体" w:cs="宋体"/>
          <w:b/>
          <w:color w:val="auto"/>
          <w:sz w:val="24"/>
          <w:szCs w:val="24"/>
        </w:rPr>
      </w:pPr>
    </w:p>
    <w:p w14:paraId="689A8206">
      <w:pPr>
        <w:jc w:val="center"/>
        <w:outlineLvl w:val="9"/>
        <w:rPr>
          <w:rFonts w:ascii="宋体" w:hAnsi="宋体" w:eastAsia="宋体" w:cs="宋体"/>
          <w:b/>
          <w:bCs/>
          <w:color w:val="auto"/>
          <w:sz w:val="24"/>
          <w:lang w:val="en-GB"/>
        </w:rPr>
      </w:pPr>
      <w:r>
        <w:rPr>
          <w:rFonts w:hint="eastAsia" w:ascii="宋体" w:hAnsi="宋体" w:eastAsia="宋体" w:cs="宋体"/>
          <w:b/>
          <w:bCs/>
          <w:color w:val="auto"/>
          <w:sz w:val="24"/>
          <w:lang w:val="en-GB"/>
        </w:rPr>
        <w:t>监狱企业</w:t>
      </w:r>
      <w:r>
        <w:rPr>
          <w:rFonts w:hint="eastAsia" w:ascii="宋体" w:hAnsi="宋体" w:eastAsia="宋体" w:cs="宋体"/>
          <w:b/>
          <w:bCs/>
          <w:color w:val="auto"/>
          <w:sz w:val="24"/>
        </w:rPr>
        <w:t>（如有）</w:t>
      </w:r>
    </w:p>
    <w:p w14:paraId="399BA16B">
      <w:pPr>
        <w:spacing w:line="588" w:lineRule="exact"/>
        <w:ind w:firstLine="504" w:firstLineChars="200"/>
        <w:outlineLvl w:val="9"/>
        <w:rPr>
          <w:rFonts w:ascii="宋体" w:hAnsi="宋体" w:cs="宋体"/>
          <w:color w:val="auto"/>
          <w:spacing w:val="6"/>
          <w:sz w:val="24"/>
        </w:rPr>
      </w:pPr>
      <w:r>
        <w:rPr>
          <w:rFonts w:hint="eastAsia" w:ascii="宋体" w:hAnsi="宋体" w:cs="宋体"/>
          <w:color w:val="auto"/>
          <w:spacing w:val="6"/>
          <w:sz w:val="24"/>
          <w:lang w:val="zh-CN"/>
        </w:rPr>
        <w:t>监狱企业参加政府采购活动时，应当提供由省级以上监狱管理局、戒毒管理局（含新疆生产建设兵团）出具的属于监狱企业的证明文件，</w:t>
      </w:r>
      <w:r>
        <w:rPr>
          <w:rFonts w:hint="eastAsia" w:ascii="宋体" w:hAnsi="宋体" w:eastAsia="宋体" w:cs="宋体"/>
          <w:b/>
          <w:bCs/>
          <w:color w:val="auto"/>
          <w:spacing w:val="6"/>
          <w:sz w:val="24"/>
          <w:u w:val="single"/>
          <w:lang w:val="zh-CN"/>
        </w:rPr>
        <w:t>视同小型、微型企业，享受小微企业政府采购优惠政策。</w:t>
      </w:r>
    </w:p>
    <w:p w14:paraId="22AE0399">
      <w:pPr>
        <w:pStyle w:val="13"/>
        <w:spacing w:line="360" w:lineRule="auto"/>
        <w:outlineLvl w:val="9"/>
        <w:rPr>
          <w:rFonts w:hAnsi="宋体" w:eastAsia="宋体" w:cs="宋体"/>
          <w:b/>
          <w:color w:val="auto"/>
          <w:sz w:val="24"/>
          <w:szCs w:val="24"/>
        </w:rPr>
      </w:pPr>
    </w:p>
    <w:p w14:paraId="55BC2143">
      <w:pPr>
        <w:pStyle w:val="23"/>
        <w:widowControl w:val="0"/>
        <w:spacing w:beforeAutospacing="0" w:afterAutospacing="0" w:line="360" w:lineRule="auto"/>
        <w:ind w:right="360" w:firstLine="6300" w:firstLineChars="2500"/>
        <w:jc w:val="both"/>
        <w:outlineLvl w:val="9"/>
        <w:rPr>
          <w:rFonts w:hint="default" w:eastAsia="宋体" w:cs="宋体"/>
          <w:color w:val="auto"/>
          <w:spacing w:val="6"/>
        </w:rPr>
      </w:pPr>
    </w:p>
    <w:p w14:paraId="3D4D0CE2">
      <w:pPr>
        <w:pStyle w:val="13"/>
        <w:spacing w:line="360" w:lineRule="auto"/>
        <w:outlineLvl w:val="9"/>
        <w:rPr>
          <w:rFonts w:hAnsi="宋体" w:eastAsia="宋体" w:cs="宋体"/>
          <w:b/>
          <w:color w:val="auto"/>
          <w:sz w:val="24"/>
          <w:szCs w:val="24"/>
        </w:rPr>
      </w:pPr>
    </w:p>
    <w:p w14:paraId="12076CDF">
      <w:pPr>
        <w:pStyle w:val="13"/>
        <w:spacing w:line="360" w:lineRule="auto"/>
        <w:outlineLvl w:val="9"/>
        <w:rPr>
          <w:rFonts w:hAnsi="宋体" w:eastAsia="宋体" w:cs="宋体"/>
          <w:b/>
          <w:color w:val="auto"/>
          <w:sz w:val="24"/>
          <w:szCs w:val="24"/>
        </w:rPr>
      </w:pPr>
    </w:p>
    <w:p w14:paraId="2EE590B1">
      <w:pPr>
        <w:spacing w:line="360" w:lineRule="auto"/>
        <w:ind w:right="480" w:firstLine="4080" w:firstLineChars="1700"/>
        <w:jc w:val="right"/>
        <w:outlineLvl w:val="9"/>
        <w:rPr>
          <w:rFonts w:ascii="宋体" w:hAnsi="宋体" w:eastAsia="宋体" w:cs="宋体"/>
          <w:color w:val="auto"/>
          <w:sz w:val="24"/>
        </w:rPr>
      </w:pPr>
      <w:r>
        <w:rPr>
          <w:rFonts w:hint="eastAsia" w:hAnsi="宋体"/>
          <w:color w:val="auto"/>
          <w:sz w:val="24"/>
          <w:highlight w:val="none"/>
          <w:lang w:eastAsia="zh-CN"/>
        </w:rPr>
        <w:t>磋商</w:t>
      </w:r>
      <w:r>
        <w:rPr>
          <w:rFonts w:hint="eastAsia" w:hAnsi="宋体" w:eastAsia="宋体"/>
          <w:color w:val="auto"/>
          <w:sz w:val="24"/>
          <w:highlight w:val="none"/>
        </w:rPr>
        <w:t>供应商名称</w:t>
      </w:r>
      <w:r>
        <w:rPr>
          <w:rFonts w:hint="eastAsia" w:hAnsi="宋体" w:eastAsia="宋体"/>
          <w:color w:val="auto"/>
          <w:sz w:val="24"/>
        </w:rPr>
        <w:t xml:space="preserve"> (盖章)</w:t>
      </w:r>
      <w:r>
        <w:rPr>
          <w:rFonts w:hint="eastAsia" w:ascii="宋体" w:hAnsi="宋体" w:eastAsia="宋体" w:cs="宋体"/>
          <w:color w:val="auto"/>
          <w:sz w:val="24"/>
        </w:rPr>
        <w:t>：</w:t>
      </w:r>
    </w:p>
    <w:p w14:paraId="71028995">
      <w:pPr>
        <w:pStyle w:val="13"/>
        <w:spacing w:line="360" w:lineRule="auto"/>
        <w:jc w:val="center"/>
        <w:outlineLvl w:val="9"/>
        <w:rPr>
          <w:rFonts w:hint="eastAsia" w:hAnsi="宋体" w:eastAsia="宋体" w:cs="宋体"/>
          <w:color w:val="auto"/>
          <w:sz w:val="24"/>
          <w:szCs w:val="24"/>
        </w:rPr>
      </w:pPr>
      <w:r>
        <w:rPr>
          <w:rFonts w:hint="eastAsia" w:hAnsi="宋体" w:cs="宋体"/>
          <w:color w:val="auto"/>
          <w:sz w:val="24"/>
          <w:szCs w:val="24"/>
          <w:lang w:val="en-US" w:eastAsia="zh-CN"/>
        </w:rPr>
        <w:t xml:space="preserve">                                              </w:t>
      </w:r>
      <w:r>
        <w:rPr>
          <w:rFonts w:hint="eastAsia" w:hAnsi="宋体" w:eastAsia="宋体" w:cs="宋体"/>
          <w:color w:val="auto"/>
          <w:sz w:val="24"/>
          <w:szCs w:val="24"/>
        </w:rPr>
        <w:t>日期∶    年   月   日</w:t>
      </w:r>
    </w:p>
    <w:p w14:paraId="2A38476B">
      <w:pPr>
        <w:rPr>
          <w:rFonts w:hint="eastAsia" w:hAnsi="宋体" w:eastAsia="宋体" w:cs="宋体"/>
          <w:color w:val="auto"/>
          <w:sz w:val="24"/>
          <w:szCs w:val="24"/>
        </w:rPr>
      </w:pPr>
    </w:p>
    <w:p w14:paraId="30801275">
      <w:pPr>
        <w:rPr>
          <w:rFonts w:hint="eastAsia" w:hAnsi="宋体" w:eastAsia="宋体" w:cs="宋体"/>
          <w:color w:val="auto"/>
          <w:sz w:val="24"/>
          <w:szCs w:val="24"/>
        </w:rPr>
      </w:pPr>
    </w:p>
    <w:p w14:paraId="38BFD328">
      <w:pPr>
        <w:rPr>
          <w:rFonts w:hint="eastAsia" w:hAnsi="宋体" w:eastAsia="宋体" w:cs="宋体"/>
          <w:color w:val="auto"/>
          <w:sz w:val="24"/>
          <w:szCs w:val="24"/>
        </w:rPr>
      </w:pPr>
    </w:p>
    <w:p w14:paraId="230DED56">
      <w:pPr>
        <w:rPr>
          <w:rFonts w:hint="eastAsia" w:hAnsi="宋体" w:eastAsia="宋体" w:cs="宋体"/>
          <w:color w:val="auto"/>
          <w:sz w:val="24"/>
          <w:szCs w:val="24"/>
        </w:rPr>
      </w:pPr>
    </w:p>
    <w:p w14:paraId="3B46CE18">
      <w:pPr>
        <w:rPr>
          <w:rFonts w:hint="eastAsia" w:hAnsi="宋体" w:eastAsia="宋体" w:cs="宋体"/>
          <w:color w:val="auto"/>
          <w:sz w:val="24"/>
          <w:szCs w:val="24"/>
        </w:rPr>
      </w:pPr>
    </w:p>
    <w:p w14:paraId="3FE41B1F">
      <w:pPr>
        <w:rPr>
          <w:rFonts w:hint="eastAsia" w:hAnsi="宋体" w:eastAsia="宋体" w:cs="宋体"/>
          <w:color w:val="auto"/>
          <w:sz w:val="24"/>
          <w:szCs w:val="24"/>
        </w:rPr>
      </w:pPr>
    </w:p>
    <w:p w14:paraId="4E81EF39">
      <w:pPr>
        <w:rPr>
          <w:rFonts w:hint="eastAsia" w:hAnsi="宋体" w:eastAsia="宋体" w:cs="宋体"/>
          <w:color w:val="auto"/>
          <w:sz w:val="24"/>
          <w:szCs w:val="24"/>
        </w:rPr>
      </w:pPr>
    </w:p>
    <w:p w14:paraId="09B093A9">
      <w:pPr>
        <w:rPr>
          <w:rFonts w:hint="eastAsia" w:hAnsi="宋体" w:eastAsia="宋体" w:cs="宋体"/>
          <w:color w:val="auto"/>
          <w:sz w:val="24"/>
          <w:szCs w:val="24"/>
        </w:rPr>
      </w:pPr>
    </w:p>
    <w:p w14:paraId="12EDAC3B">
      <w:pPr>
        <w:widowControl w:val="0"/>
        <w:shd w:val="clear" w:color="auto" w:fill="auto"/>
        <w:adjustRightInd w:val="0"/>
        <w:snapToGrid w:val="0"/>
        <w:spacing w:before="156" w:after="156"/>
        <w:jc w:val="both"/>
        <w:rPr>
          <w:rFonts w:ascii="楷体_GB2312" w:hAnsi="宋体" w:eastAsia="宋体" w:cs="宋体"/>
          <w:b/>
          <w:bCs/>
          <w:color w:val="auto"/>
          <w:kern w:val="2"/>
          <w:sz w:val="24"/>
          <w:szCs w:val="24"/>
          <w:highlight w:val="none"/>
          <w:lang w:val="en-US" w:eastAsia="zh-CN" w:bidi="ar-SA"/>
        </w:rPr>
      </w:pPr>
      <w:r>
        <w:rPr>
          <w:rFonts w:hint="eastAsia" w:ascii="楷体_GB2312" w:hAnsi="宋体" w:eastAsia="宋体" w:cs="宋体"/>
          <w:b/>
          <w:bCs/>
          <w:color w:val="auto"/>
          <w:kern w:val="2"/>
          <w:sz w:val="24"/>
          <w:szCs w:val="24"/>
          <w:highlight w:val="none"/>
          <w:lang w:val="en-US" w:eastAsia="zh-CN" w:bidi="ar-SA"/>
        </w:rPr>
        <w:t>附件十二：</w:t>
      </w:r>
    </w:p>
    <w:p w14:paraId="554B33C1">
      <w:pPr>
        <w:keepNext w:val="0"/>
        <w:keepLines w:val="0"/>
        <w:widowControl/>
        <w:suppressLineNumbers w:val="0"/>
        <w:jc w:val="left"/>
        <w:rPr>
          <w:rFonts w:ascii="宋体" w:hAnsi="宋体" w:eastAsia="宋体" w:cs="宋体"/>
          <w:b/>
          <w:color w:val="auto"/>
          <w:kern w:val="0"/>
          <w:sz w:val="24"/>
          <w:szCs w:val="24"/>
          <w:highlight w:val="none"/>
          <w:lang w:val="en-GB" w:eastAsia="zh-CN" w:bidi="ar-SA"/>
        </w:rPr>
      </w:pPr>
      <w:r>
        <w:rPr>
          <w:rFonts w:hint="eastAsia" w:ascii="宋体" w:hAnsi="宋体" w:eastAsia="宋体" w:cs="宋体"/>
          <w:b/>
          <w:color w:val="auto"/>
          <w:kern w:val="0"/>
          <w:sz w:val="24"/>
          <w:szCs w:val="24"/>
          <w:highlight w:val="none"/>
          <w:lang w:val="en-US" w:eastAsia="zh-CN" w:bidi="ar-SA"/>
        </w:rPr>
        <w:t>(参加本项目采购活动的供应商须填写“政府采购活动现场确认声明书”，并在开标后30分钟内将扫描件发送至代理机构邮箱</w:t>
      </w:r>
      <w:r>
        <w:rPr>
          <w:rFonts w:hint="eastAsia" w:ascii="宋体" w:hAnsi="宋体" w:eastAsia="宋体" w:cs="宋体"/>
          <w:b/>
          <w:bCs/>
          <w:color w:val="auto"/>
          <w:kern w:val="0"/>
          <w:sz w:val="21"/>
          <w:szCs w:val="21"/>
          <w:highlight w:val="none"/>
          <w:u w:val="single"/>
          <w:lang w:val="en-US" w:eastAsia="zh-CN" w:bidi="ar-SA"/>
        </w:rPr>
        <w:t>471536594@qq.com，</w:t>
      </w:r>
      <w:r>
        <w:rPr>
          <w:rFonts w:hint="eastAsia" w:ascii="宋体" w:hAnsi="宋体" w:eastAsia="宋体" w:cs="宋体"/>
          <w:b/>
          <w:color w:val="auto"/>
          <w:kern w:val="0"/>
          <w:sz w:val="24"/>
          <w:szCs w:val="24"/>
          <w:highlight w:val="none"/>
          <w:lang w:val="en-US" w:eastAsia="zh-CN" w:bidi="ar-SA"/>
        </w:rPr>
        <w:t>不填写或未按规定发出邮件的，视同默认不存在确认声明书中的相关违规情形。)</w:t>
      </w:r>
    </w:p>
    <w:p w14:paraId="2E34B0B1">
      <w:pPr>
        <w:shd w:val="clear" w:color="auto" w:fill="auto"/>
        <w:snapToGrid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政府采购活动现场确认声明书</w:t>
      </w:r>
    </w:p>
    <w:p w14:paraId="53FCA023">
      <w:pPr>
        <w:widowControl/>
        <w:shd w:val="clear" w:color="auto" w:fill="auto"/>
        <w:tabs>
          <w:tab w:val="left" w:pos="8231"/>
        </w:tabs>
        <w:snapToGrid w:val="0"/>
        <w:spacing w:line="360" w:lineRule="auto"/>
        <w:jc w:val="left"/>
        <w:rPr>
          <w:rFonts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 xml:space="preserve">浙江中衡信工程咨询有限公司 </w:t>
      </w:r>
      <w:r>
        <w:rPr>
          <w:rFonts w:hint="eastAsia" w:ascii="宋体" w:hAnsi="宋体" w:eastAsia="宋体" w:cs="宋体"/>
          <w:color w:val="auto"/>
          <w:kern w:val="0"/>
          <w:sz w:val="24"/>
          <w:szCs w:val="24"/>
          <w:highlight w:val="none"/>
          <w:lang w:val="en-US" w:eastAsia="zh-CN" w:bidi="ar-SA"/>
        </w:rPr>
        <w:t>（采购组织机构名称）：</w:t>
      </w:r>
      <w:r>
        <w:rPr>
          <w:rFonts w:hint="eastAsia" w:ascii="宋体" w:hAnsi="宋体" w:eastAsia="宋体" w:cs="宋体"/>
          <w:color w:val="auto"/>
          <w:kern w:val="0"/>
          <w:sz w:val="24"/>
          <w:szCs w:val="24"/>
          <w:highlight w:val="none"/>
          <w:lang w:val="en-US" w:eastAsia="zh-CN" w:bidi="ar-SA"/>
        </w:rPr>
        <w:tab/>
      </w:r>
    </w:p>
    <w:p w14:paraId="6C910951">
      <w:pPr>
        <w:widowControl/>
        <w:shd w:val="clear" w:color="auto" w:fill="auto"/>
        <w:snapToGrid w:val="0"/>
        <w:spacing w:line="360" w:lineRule="auto"/>
        <w:ind w:firstLine="504" w:firstLineChars="200"/>
        <w:jc w:val="left"/>
        <w:rPr>
          <w:rFonts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spacing w:val="6"/>
          <w:kern w:val="0"/>
          <w:sz w:val="24"/>
          <w:szCs w:val="24"/>
          <w:highlight w:val="none"/>
          <w:lang w:val="en-US" w:eastAsia="zh-CN" w:bidi="ar-SA"/>
        </w:rPr>
        <w:t>本人经由</w:t>
      </w:r>
      <w:r>
        <w:rPr>
          <w:rFonts w:hint="eastAsia" w:ascii="宋体" w:hAnsi="宋体" w:eastAsia="宋体" w:cs="宋体"/>
          <w:color w:val="auto"/>
          <w:spacing w:val="6"/>
          <w:kern w:val="0"/>
          <w:sz w:val="24"/>
          <w:szCs w:val="24"/>
          <w:highlight w:val="none"/>
          <w:u w:val="single"/>
          <w:lang w:val="en-US" w:eastAsia="zh-CN" w:bidi="ar-SA"/>
        </w:rPr>
        <w:t xml:space="preserve">                  （单位）</w:t>
      </w:r>
      <w:r>
        <w:rPr>
          <w:rFonts w:hint="eastAsia" w:ascii="宋体" w:hAnsi="宋体" w:eastAsia="宋体" w:cs="宋体"/>
          <w:color w:val="auto"/>
          <w:spacing w:val="6"/>
          <w:kern w:val="0"/>
          <w:sz w:val="24"/>
          <w:szCs w:val="24"/>
          <w:highlight w:val="none"/>
          <w:lang w:val="en-US" w:eastAsia="zh-CN" w:bidi="ar-SA"/>
        </w:rPr>
        <w:t>负责人</w:t>
      </w:r>
      <w:r>
        <w:rPr>
          <w:rFonts w:hint="eastAsia" w:ascii="宋体" w:hAnsi="宋体" w:eastAsia="宋体" w:cs="宋体"/>
          <w:color w:val="auto"/>
          <w:spacing w:val="6"/>
          <w:kern w:val="0"/>
          <w:sz w:val="24"/>
          <w:szCs w:val="24"/>
          <w:highlight w:val="none"/>
          <w:u w:val="single"/>
          <w:lang w:val="en-US" w:eastAsia="zh-CN" w:bidi="ar-SA"/>
        </w:rPr>
        <w:t xml:space="preserve">        （姓名）</w:t>
      </w:r>
      <w:r>
        <w:rPr>
          <w:rFonts w:hint="eastAsia" w:ascii="宋体" w:hAnsi="宋体" w:eastAsia="宋体" w:cs="宋体"/>
          <w:color w:val="auto"/>
          <w:spacing w:val="6"/>
          <w:kern w:val="0"/>
          <w:sz w:val="24"/>
          <w:szCs w:val="24"/>
          <w:highlight w:val="none"/>
          <w:lang w:val="en-US" w:eastAsia="zh-CN" w:bidi="ar-SA"/>
        </w:rPr>
        <w:t>合法授权参加</w:t>
      </w:r>
      <w:r>
        <w:rPr>
          <w:rFonts w:hint="eastAsia" w:ascii="宋体" w:hAnsi="宋体" w:eastAsia="宋体" w:cs="宋体"/>
          <w:bCs/>
          <w:color w:val="auto"/>
          <w:spacing w:val="6"/>
          <w:kern w:val="0"/>
          <w:sz w:val="24"/>
          <w:szCs w:val="24"/>
          <w:highlight w:val="none"/>
          <w:u w:val="single"/>
          <w:lang w:val="en-US" w:eastAsia="zh-CN" w:bidi="ar-SA"/>
        </w:rPr>
        <w:t xml:space="preserve">           </w:t>
      </w:r>
      <w:r>
        <w:rPr>
          <w:rFonts w:hint="eastAsia" w:ascii="宋体" w:hAnsi="宋体" w:eastAsia="宋体" w:cs="宋体"/>
          <w:color w:val="auto"/>
          <w:spacing w:val="6"/>
          <w:kern w:val="0"/>
          <w:sz w:val="24"/>
          <w:szCs w:val="24"/>
          <w:highlight w:val="none"/>
          <w:lang w:val="en-US" w:eastAsia="zh-CN" w:bidi="ar-SA"/>
        </w:rPr>
        <w:t>（编号：</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spacing w:val="6"/>
          <w:kern w:val="0"/>
          <w:sz w:val="24"/>
          <w:szCs w:val="24"/>
          <w:highlight w:val="none"/>
          <w:lang w:val="en-US" w:eastAsia="zh-CN" w:bidi="ar-SA"/>
        </w:rPr>
        <w:t xml:space="preserve">）政府采购活动，经与本单位法人代表（负责人）联系确认，现就有关公平竞争事项郑重声明如下： </w:t>
      </w:r>
    </w:p>
    <w:p w14:paraId="66A62D61">
      <w:pPr>
        <w:widowControl/>
        <w:numPr>
          <w:ilvl w:val="0"/>
          <w:numId w:val="9"/>
        </w:numPr>
        <w:shd w:val="clear" w:color="auto" w:fill="auto"/>
        <w:snapToGrid w:val="0"/>
        <w:spacing w:line="360" w:lineRule="auto"/>
        <w:ind w:firstLine="453" w:firstLineChars="189"/>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本单位与采购人之间 □不存在利害关系 □存在下列利害关系</w:t>
      </w:r>
      <w:r>
        <w:rPr>
          <w:rFonts w:ascii="宋体" w:hAnsi="宋体" w:eastAsia="宋体" w:cs="宋体"/>
          <w:color w:val="auto"/>
          <w:kern w:val="0"/>
          <w:sz w:val="24"/>
          <w:szCs w:val="24"/>
          <w:highlight w:val="none"/>
          <w:u w:val="single"/>
          <w:lang w:val="en-US" w:eastAsia="zh-CN" w:bidi="ar-SA"/>
        </w:rPr>
        <w:t xml:space="preserve">           </w:t>
      </w:r>
      <w:r>
        <w:rPr>
          <w:rFonts w:ascii="宋体" w:hAnsi="宋体" w:eastAsia="宋体" w:cs="宋体"/>
          <w:color w:val="auto"/>
          <w:kern w:val="0"/>
          <w:sz w:val="24"/>
          <w:szCs w:val="24"/>
          <w:highlight w:val="none"/>
          <w:lang w:val="en-US" w:eastAsia="zh-CN" w:bidi="ar-SA"/>
        </w:rPr>
        <w:t>：  A.投资关系    B.行政隶属关系    C.业务指导关系</w:t>
      </w:r>
    </w:p>
    <w:p w14:paraId="6DE26720">
      <w:pPr>
        <w:widowControl/>
        <w:shd w:val="clear" w:color="auto" w:fill="auto"/>
        <w:snapToGrid w:val="0"/>
        <w:spacing w:line="360" w:lineRule="auto"/>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D.其他可能影响采购公正的利害关系</w:t>
      </w:r>
      <w:r>
        <w:rPr>
          <w:rFonts w:ascii="宋体" w:hAnsi="宋体" w:eastAsia="宋体" w:cs="宋体"/>
          <w:color w:val="auto"/>
          <w:kern w:val="0"/>
          <w:sz w:val="24"/>
          <w:szCs w:val="24"/>
          <w:highlight w:val="none"/>
          <w:u w:val="single"/>
          <w:lang w:val="en-US" w:eastAsia="zh-CN" w:bidi="ar-SA"/>
        </w:rPr>
        <w:t xml:space="preserve">（如有，请如实说明）                 </w:t>
      </w:r>
      <w:r>
        <w:rPr>
          <w:rFonts w:ascii="宋体" w:hAnsi="宋体" w:eastAsia="宋体" w:cs="宋体"/>
          <w:color w:val="auto"/>
          <w:kern w:val="0"/>
          <w:sz w:val="24"/>
          <w:szCs w:val="24"/>
          <w:highlight w:val="none"/>
          <w:lang w:val="en-US" w:eastAsia="zh-CN" w:bidi="ar-SA"/>
        </w:rPr>
        <w:t>。</w:t>
      </w:r>
    </w:p>
    <w:p w14:paraId="6F41FD23">
      <w:pPr>
        <w:widowControl/>
        <w:shd w:val="clear" w:color="auto" w:fill="auto"/>
        <w:snapToGrid w:val="0"/>
        <w:spacing w:line="360" w:lineRule="auto"/>
        <w:ind w:firstLine="504" w:firstLineChars="200"/>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spacing w:val="6"/>
          <w:kern w:val="0"/>
          <w:sz w:val="24"/>
          <w:szCs w:val="24"/>
          <w:highlight w:val="none"/>
          <w:lang w:val="en-US" w:eastAsia="zh-CN" w:bidi="ar-SA"/>
        </w:rPr>
        <w:t xml:space="preserve">  二、</w:t>
      </w:r>
      <w:r>
        <w:rPr>
          <w:rFonts w:ascii="宋体" w:hAnsi="宋体" w:eastAsia="宋体" w:cs="宋体"/>
          <w:color w:val="auto"/>
          <w:kern w:val="0"/>
          <w:sz w:val="24"/>
          <w:szCs w:val="24"/>
          <w:highlight w:val="none"/>
          <w:lang w:val="en-US" w:eastAsia="zh-CN" w:bidi="ar-SA"/>
        </w:rPr>
        <w:t>现已清楚知道参加本项目采购活动的其他所有供应商名称，本单位 □与其他所有供应商之间均不存在利害关系 □与</w:t>
      </w:r>
      <w:r>
        <w:rPr>
          <w:rFonts w:ascii="宋体" w:hAnsi="宋体" w:eastAsia="宋体" w:cs="宋体"/>
          <w:color w:val="auto"/>
          <w:kern w:val="0"/>
          <w:sz w:val="24"/>
          <w:szCs w:val="24"/>
          <w:highlight w:val="none"/>
          <w:u w:val="single"/>
          <w:lang w:val="en-US" w:eastAsia="zh-CN" w:bidi="ar-SA"/>
        </w:rPr>
        <w:t xml:space="preserve">           （供应商名称）</w:t>
      </w:r>
      <w:r>
        <w:rPr>
          <w:rFonts w:ascii="宋体" w:hAnsi="宋体" w:eastAsia="宋体" w:cs="宋体"/>
          <w:color w:val="auto"/>
          <w:kern w:val="0"/>
          <w:sz w:val="24"/>
          <w:szCs w:val="24"/>
          <w:highlight w:val="none"/>
          <w:lang w:val="en-US" w:eastAsia="zh-CN" w:bidi="ar-SA"/>
        </w:rPr>
        <w:t>之间存在下列利害关系</w:t>
      </w:r>
      <w:r>
        <w:rPr>
          <w:rFonts w:ascii="宋体" w:hAnsi="宋体" w:eastAsia="宋体" w:cs="宋体"/>
          <w:color w:val="auto"/>
          <w:kern w:val="0"/>
          <w:sz w:val="24"/>
          <w:szCs w:val="24"/>
          <w:highlight w:val="none"/>
          <w:u w:val="single"/>
          <w:lang w:val="en-US" w:eastAsia="zh-CN" w:bidi="ar-SA"/>
        </w:rPr>
        <w:t xml:space="preserve">          </w:t>
      </w:r>
      <w:r>
        <w:rPr>
          <w:rFonts w:ascii="宋体" w:hAnsi="宋体" w:eastAsia="宋体" w:cs="宋体"/>
          <w:color w:val="auto"/>
          <w:kern w:val="0"/>
          <w:sz w:val="24"/>
          <w:szCs w:val="24"/>
          <w:highlight w:val="none"/>
          <w:lang w:val="en-US" w:eastAsia="zh-CN" w:bidi="ar-SA"/>
        </w:rPr>
        <w:t>：</w:t>
      </w:r>
    </w:p>
    <w:p w14:paraId="4E96DE51">
      <w:pPr>
        <w:widowControl/>
        <w:shd w:val="clear" w:color="auto" w:fill="auto"/>
        <w:snapToGrid w:val="0"/>
        <w:spacing w:line="36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A.法定代表人或负责人或实际控制人是同一人</w:t>
      </w:r>
    </w:p>
    <w:p w14:paraId="49D08F92">
      <w:pPr>
        <w:widowControl/>
        <w:shd w:val="clear" w:color="auto" w:fill="auto"/>
        <w:snapToGrid w:val="0"/>
        <w:spacing w:line="360" w:lineRule="auto"/>
        <w:ind w:firstLine="480" w:firstLineChars="200"/>
        <w:jc w:val="left"/>
        <w:rPr>
          <w:rFonts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B.法定代表人或负责人或实际控制人是夫妻关系</w:t>
      </w:r>
    </w:p>
    <w:p w14:paraId="6D9061B8">
      <w:pPr>
        <w:widowControl/>
        <w:shd w:val="clear" w:color="auto" w:fill="auto"/>
        <w:snapToGrid w:val="0"/>
        <w:spacing w:line="360" w:lineRule="auto"/>
        <w:ind w:firstLine="480" w:firstLineChars="200"/>
        <w:jc w:val="left"/>
        <w:rPr>
          <w:rFonts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C.法定代表人或负责人或实际控制人是直系血亲关系</w:t>
      </w:r>
    </w:p>
    <w:p w14:paraId="0D2CE9B0">
      <w:pPr>
        <w:widowControl/>
        <w:shd w:val="clear" w:color="auto" w:fill="auto"/>
        <w:snapToGrid w:val="0"/>
        <w:spacing w:line="360" w:lineRule="auto"/>
        <w:ind w:firstLine="480" w:firstLineChars="200"/>
        <w:jc w:val="left"/>
        <w:rPr>
          <w:rFonts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D.法定代表人或负责人或实际控制人存在三代以内旁系血亲关系</w:t>
      </w:r>
    </w:p>
    <w:p w14:paraId="1EA8C8A4">
      <w:pPr>
        <w:widowControl/>
        <w:shd w:val="clear" w:color="auto" w:fill="auto"/>
        <w:snapToGrid w:val="0"/>
        <w:spacing w:line="36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E.法定代表人或负责人或实际控制人存在近姻亲关系</w:t>
      </w:r>
    </w:p>
    <w:p w14:paraId="16CCF34B">
      <w:pPr>
        <w:widowControl/>
        <w:shd w:val="clear" w:color="auto" w:fill="auto"/>
        <w:snapToGrid w:val="0"/>
        <w:spacing w:line="36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F.法定代表人或负责人或实际控制人存在股份控制或实际控制关系</w:t>
      </w:r>
    </w:p>
    <w:p w14:paraId="18E95C24">
      <w:pPr>
        <w:widowControl/>
        <w:shd w:val="clear" w:color="auto" w:fill="auto"/>
        <w:snapToGrid w:val="0"/>
        <w:spacing w:line="36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w:t>
      </w:r>
      <w:bookmarkStart w:id="551" w:name="_Toc20814"/>
      <w:r>
        <w:rPr>
          <w:rFonts w:hint="eastAsia" w:ascii="宋体" w:hAnsi="宋体" w:eastAsia="宋体" w:cs="宋体"/>
          <w:color w:val="auto"/>
          <w:kern w:val="0"/>
          <w:sz w:val="24"/>
          <w:szCs w:val="24"/>
          <w:highlight w:val="none"/>
          <w:lang w:val="en-US" w:eastAsia="zh-CN" w:bidi="ar-SA"/>
        </w:rPr>
        <w:t>G.存在共同直接或间接投资设立子公司、联营企业和合营企业情况</w:t>
      </w:r>
      <w:bookmarkEnd w:id="551"/>
    </w:p>
    <w:p w14:paraId="5F7180FC">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H.存在分级代理或代销关系、同一生产制造商关系、管理关系、重要业务（占主营业务收入50%以上）或重要财务往来关系（如融资）等其他实质性控制关系</w:t>
      </w:r>
    </w:p>
    <w:p w14:paraId="1B3F7A30">
      <w:pPr>
        <w:widowControl/>
        <w:shd w:val="clear" w:color="auto" w:fill="auto"/>
        <w:snapToGrid w:val="0"/>
        <w:spacing w:line="360" w:lineRule="auto"/>
        <w:ind w:firstLine="480" w:firstLineChars="200"/>
        <w:jc w:val="left"/>
        <w:rPr>
          <w:rFonts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I.其他利害关系情况</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18B88F2D">
      <w:pPr>
        <w:widowControl/>
        <w:numPr>
          <w:ilvl w:val="0"/>
          <w:numId w:val="10"/>
        </w:numPr>
        <w:shd w:val="clear" w:color="auto" w:fill="auto"/>
        <w:snapToGrid w:val="0"/>
        <w:spacing w:line="360" w:lineRule="auto"/>
        <w:ind w:firstLine="453" w:firstLineChars="189"/>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现已清楚知道并严格遵守政府采购法律法规和现场纪律。</w:t>
      </w:r>
    </w:p>
    <w:p w14:paraId="48A5D822">
      <w:pPr>
        <w:widowControl/>
        <w:numPr>
          <w:ilvl w:val="0"/>
          <w:numId w:val="10"/>
        </w:numPr>
        <w:shd w:val="clear" w:color="auto" w:fill="auto"/>
        <w:snapToGrid w:val="0"/>
        <w:spacing w:line="360" w:lineRule="auto"/>
        <w:ind w:firstLine="453" w:firstLineChars="189"/>
        <w:jc w:val="left"/>
        <w:rPr>
          <w:rFonts w:ascii="宋体" w:hAnsi="宋体" w:eastAsia="宋体" w:cs="宋体"/>
          <w:color w:val="auto"/>
          <w:kern w:val="0"/>
          <w:sz w:val="24"/>
          <w:szCs w:val="24"/>
          <w:highlight w:val="none"/>
          <w:lang w:val="en-US" w:eastAsia="zh-CN" w:bidi="ar-SA"/>
        </w:rPr>
      </w:pPr>
      <w:r>
        <w:rPr>
          <w:rFonts w:ascii="宋体" w:hAnsi="宋体" w:eastAsia="宋体" w:cs="宋体"/>
          <w:color w:val="auto"/>
          <w:kern w:val="0"/>
          <w:sz w:val="24"/>
          <w:szCs w:val="24"/>
          <w:highlight w:val="none"/>
          <w:lang w:val="en-US" w:eastAsia="zh-CN" w:bidi="ar-SA"/>
        </w:rPr>
        <w:t>我发现</w:t>
      </w:r>
      <w:r>
        <w:rPr>
          <w:rFonts w:ascii="宋体" w:hAnsi="宋体" w:eastAsia="宋体" w:cs="宋体"/>
          <w:color w:val="auto"/>
          <w:kern w:val="0"/>
          <w:sz w:val="24"/>
          <w:szCs w:val="24"/>
          <w:highlight w:val="none"/>
          <w:u w:val="single"/>
          <w:lang w:val="en-US" w:eastAsia="zh-CN" w:bidi="ar-SA"/>
        </w:rPr>
        <w:t xml:space="preserve">                    </w:t>
      </w:r>
      <w:r>
        <w:rPr>
          <w:rFonts w:ascii="宋体" w:hAnsi="宋体" w:eastAsia="宋体" w:cs="宋体"/>
          <w:color w:val="auto"/>
          <w:kern w:val="0"/>
          <w:sz w:val="24"/>
          <w:szCs w:val="24"/>
          <w:highlight w:val="none"/>
          <w:lang w:val="en-US" w:eastAsia="zh-CN" w:bidi="ar-SA"/>
        </w:rPr>
        <w:t>供应商之间存在或可能存在上述第二条第</w:t>
      </w:r>
      <w:r>
        <w:rPr>
          <w:rFonts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ascii="宋体" w:hAnsi="宋体" w:eastAsia="宋体" w:cs="宋体"/>
          <w:color w:val="auto"/>
          <w:kern w:val="0"/>
          <w:sz w:val="24"/>
          <w:szCs w:val="24"/>
          <w:highlight w:val="none"/>
          <w:lang w:val="en-US" w:eastAsia="zh-CN" w:bidi="ar-SA"/>
        </w:rPr>
        <w:t>项利害关系。</w:t>
      </w:r>
    </w:p>
    <w:p w14:paraId="1BBB24BD">
      <w:pPr>
        <w:shd w:val="clear" w:color="auto" w:fill="auto"/>
        <w:rPr>
          <w:rFonts w:hint="eastAsia" w:hAnsi="宋体" w:eastAsia="宋体" w:cs="宋体"/>
          <w:color w:val="auto"/>
          <w:sz w:val="24"/>
          <w:szCs w:val="24"/>
          <w:highlight w:val="none"/>
          <w:lang w:val="zh-CN" w:eastAsia="zh-CN"/>
        </w:rPr>
      </w:pPr>
      <w:r>
        <w:rPr>
          <w:rFonts w:hint="eastAsia" w:ascii="宋体" w:hAnsi="宋体" w:eastAsia="宋体" w:cs="宋体"/>
          <w:color w:val="auto"/>
          <w:kern w:val="0"/>
          <w:sz w:val="24"/>
          <w:szCs w:val="24"/>
          <w:highlight w:val="none"/>
          <w:lang w:val="en-US" w:eastAsia="zh-CN" w:bidi="ar-SA"/>
        </w:rPr>
        <w:t xml:space="preserve"> （供应商代表签名）                 </w:t>
      </w:r>
      <w:r>
        <w:rPr>
          <w:rFonts w:hint="eastAsia" w:ascii="宋体" w:hAnsi="宋体" w:eastAsia="宋体" w:cs="宋体"/>
          <w:color w:val="auto"/>
          <w:sz w:val="24"/>
          <w:highlight w:val="none"/>
        </w:rPr>
        <w:t xml:space="preserve">   年   月   日</w:t>
      </w:r>
    </w:p>
    <w:p w14:paraId="6DC82C88">
      <w:pPr>
        <w:rPr>
          <w:rFonts w:hint="eastAsia" w:hAnsi="宋体" w:eastAsia="宋体" w:cs="宋体"/>
          <w:color w:val="auto"/>
          <w:sz w:val="24"/>
          <w:szCs w:val="24"/>
        </w:rPr>
      </w:pPr>
    </w:p>
    <w:p w14:paraId="1A1E6461">
      <w:pPr>
        <w:pStyle w:val="33"/>
        <w:rPr>
          <w:rFonts w:hint="default"/>
          <w:color w:val="auto"/>
          <w:lang w:val="en-US" w:eastAsia="zh-CN"/>
        </w:rPr>
      </w:pPr>
    </w:p>
    <w:p w14:paraId="3782A6D9">
      <w:pPr>
        <w:pStyle w:val="13"/>
        <w:snapToGrid w:val="0"/>
        <w:outlineLvl w:val="1"/>
        <w:rPr>
          <w:color w:val="auto"/>
        </w:rPr>
      </w:pPr>
    </w:p>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AAA2">
    <w:pPr>
      <w:pStyle w:val="16"/>
      <w:jc w:val="both"/>
      <w:rPr>
        <w:rFonts w:hint="eastAsia" w:eastAsia="宋体"/>
        <w:u w:val="single"/>
        <w:lang w:eastAsia="zh-CN"/>
      </w:rPr>
    </w:pPr>
    <w:r>
      <w:rPr>
        <w:rFonts w:hint="eastAsia" w:eastAsia="宋体"/>
        <w:u w:val="single"/>
        <w:lang w:eastAsia="zh-CN"/>
      </w:rPr>
      <w:t>浙江中衡信工程咨询有限公司</w:t>
    </w:r>
  </w:p>
  <w:p w14:paraId="60F5877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6D50">
    <w:pPr>
      <w:pStyle w:val="16"/>
      <w:jc w:val="both"/>
      <w:rPr>
        <w:rFonts w:hint="eastAsia" w:eastAsia="宋体"/>
        <w:u w:val="single"/>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483B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2483B6">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u w:val="single"/>
        <w:lang w:eastAsia="zh-CN"/>
      </w:rPr>
      <w:t>浙江中衡信工程咨询有限公司</w:t>
    </w:r>
  </w:p>
  <w:p w14:paraId="16884204">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FB86">
    <w:pPr>
      <w:pStyle w:val="16"/>
      <w:jc w:val="both"/>
      <w:rPr>
        <w:rFonts w:hint="eastAsia" w:eastAsia="宋体"/>
        <w:u w:val="single"/>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0475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B0475D">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u w:val="single"/>
        <w:lang w:eastAsia="zh-CN"/>
      </w:rPr>
      <w:t>浙江中衡信工程咨询有限公司</w:t>
    </w:r>
  </w:p>
  <w:p w14:paraId="0CE89CC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3CFA">
    <w:pPr>
      <w:pStyle w:val="16"/>
      <w:wordWrap w:val="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D8F8E">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BD8F8E">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3A1791D">
      <w:pPr>
        <w:pStyle w:val="20"/>
      </w:pPr>
      <w:r>
        <w:rPr>
          <w:rStyle w:val="32"/>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B6072">
    <w:pPr>
      <w:pStyle w:val="17"/>
      <w:ind w:right="360"/>
      <w:jc w:val="left"/>
      <w:rPr>
        <w:rFonts w:ascii="宋体" w:hAnsi="宋体"/>
      </w:rPr>
    </w:pPr>
    <w:r>
      <w:rPr>
        <w:rFonts w:hint="eastAsia" w:ascii="宋体" w:hAnsi="宋体" w:eastAsia="宋体"/>
        <w:lang w:eastAsia="zh-CN"/>
      </w:rPr>
      <w:t>北城办事处改造工程</w:t>
    </w:r>
    <w:r>
      <w:rPr>
        <w:rFonts w:hint="eastAsia" w:ascii="宋体" w:hAnsi="宋体"/>
      </w:rPr>
      <w:t xml:space="preserve">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2282">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F7D0B"/>
    <w:multiLevelType w:val="singleLevel"/>
    <w:tmpl w:val="873F7D0B"/>
    <w:lvl w:ilvl="0" w:tentative="0">
      <w:start w:val="2"/>
      <w:numFmt w:val="decimal"/>
      <w:lvlText w:val="%1."/>
      <w:lvlJc w:val="left"/>
      <w:pPr>
        <w:tabs>
          <w:tab w:val="left" w:pos="312"/>
        </w:tabs>
      </w:pPr>
    </w:lvl>
  </w:abstractNum>
  <w:abstractNum w:abstractNumId="1">
    <w:nsid w:val="B3C2F613"/>
    <w:multiLevelType w:val="singleLevel"/>
    <w:tmpl w:val="B3C2F613"/>
    <w:lvl w:ilvl="0" w:tentative="0">
      <w:start w:val="1"/>
      <w:numFmt w:val="decimal"/>
      <w:suff w:val="nothing"/>
      <w:lvlText w:val="%1、"/>
      <w:lvlJc w:val="left"/>
    </w:lvl>
  </w:abstractNum>
  <w:abstractNum w:abstractNumId="2">
    <w:nsid w:val="C39B8AB7"/>
    <w:multiLevelType w:val="singleLevel"/>
    <w:tmpl w:val="C39B8AB7"/>
    <w:lvl w:ilvl="0" w:tentative="0">
      <w:start w:val="2"/>
      <w:numFmt w:val="decimal"/>
      <w:suff w:val="nothing"/>
      <w:lvlText w:val="%1、"/>
      <w:lvlJc w:val="left"/>
    </w:lvl>
  </w:abstractNum>
  <w:abstractNum w:abstractNumId="3">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A68FB5F"/>
    <w:multiLevelType w:val="singleLevel"/>
    <w:tmpl w:val="4A68FB5F"/>
    <w:lvl w:ilvl="0" w:tentative="0">
      <w:start w:val="5"/>
      <w:numFmt w:val="chineseCounting"/>
      <w:suff w:val="nothing"/>
      <w:lvlText w:val="%1、"/>
      <w:lvlJc w:val="left"/>
      <w:rPr>
        <w:rFonts w:hint="eastAsia"/>
      </w:rPr>
    </w:lvl>
  </w:abstractNum>
  <w:abstractNum w:abstractNumId="5">
    <w:nsid w:val="5270CB86"/>
    <w:multiLevelType w:val="singleLevel"/>
    <w:tmpl w:val="5270CB86"/>
    <w:lvl w:ilvl="0" w:tentative="0">
      <w:start w:val="2"/>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C785F96"/>
    <w:multiLevelType w:val="singleLevel"/>
    <w:tmpl w:val="5C785F96"/>
    <w:lvl w:ilvl="0" w:tentative="0">
      <w:start w:val="2"/>
      <w:numFmt w:val="decimal"/>
      <w:suff w:val="nothing"/>
      <w:lvlText w:val="（%1）"/>
      <w:lvlJc w:val="left"/>
      <w:pPr>
        <w:ind w:left="78"/>
      </w:pPr>
    </w:lvl>
  </w:abstractNum>
  <w:abstractNum w:abstractNumId="9">
    <w:nsid w:val="6A922762"/>
    <w:multiLevelType w:val="multilevel"/>
    <w:tmpl w:val="6A922762"/>
    <w:lvl w:ilvl="0" w:tentative="0">
      <w:start w:val="1"/>
      <w:numFmt w:val="decimal"/>
      <w:lvlText w:val="%1、"/>
      <w:lvlJc w:val="left"/>
      <w:pPr>
        <w:tabs>
          <w:tab w:val="left" w:pos="840"/>
        </w:tabs>
        <w:ind w:left="18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1"/>
  </w:num>
  <w:num w:numId="4">
    <w:abstractNumId w:val="9"/>
    <w:lvlOverride w:ilvl="0">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WYzYzI5MmFiMTYzMGJhOGQ0N2MzODM3NTM0MzYifQ=="/>
  </w:docVars>
  <w:rsids>
    <w:rsidRoot w:val="642377E2"/>
    <w:rsid w:val="00012E61"/>
    <w:rsid w:val="0001478D"/>
    <w:rsid w:val="000361CF"/>
    <w:rsid w:val="0005159E"/>
    <w:rsid w:val="000A1A4A"/>
    <w:rsid w:val="00176F98"/>
    <w:rsid w:val="00184B82"/>
    <w:rsid w:val="001858F2"/>
    <w:rsid w:val="001B699F"/>
    <w:rsid w:val="00256D1A"/>
    <w:rsid w:val="002C78B2"/>
    <w:rsid w:val="00375E29"/>
    <w:rsid w:val="00445654"/>
    <w:rsid w:val="005414D6"/>
    <w:rsid w:val="00554332"/>
    <w:rsid w:val="00575A9B"/>
    <w:rsid w:val="005A2D54"/>
    <w:rsid w:val="005D7977"/>
    <w:rsid w:val="00644F14"/>
    <w:rsid w:val="00647E48"/>
    <w:rsid w:val="006D3E64"/>
    <w:rsid w:val="006E4DDE"/>
    <w:rsid w:val="006F0AD2"/>
    <w:rsid w:val="007237D9"/>
    <w:rsid w:val="00763E89"/>
    <w:rsid w:val="007672B4"/>
    <w:rsid w:val="00774C55"/>
    <w:rsid w:val="007B7823"/>
    <w:rsid w:val="007C58D4"/>
    <w:rsid w:val="007F5CA3"/>
    <w:rsid w:val="00807ED2"/>
    <w:rsid w:val="00821C7D"/>
    <w:rsid w:val="00832F07"/>
    <w:rsid w:val="00840F62"/>
    <w:rsid w:val="008A4DD0"/>
    <w:rsid w:val="009314CA"/>
    <w:rsid w:val="00943A5E"/>
    <w:rsid w:val="00A17EA3"/>
    <w:rsid w:val="00A80195"/>
    <w:rsid w:val="00AA3EAA"/>
    <w:rsid w:val="00AA49E4"/>
    <w:rsid w:val="00AC0FE4"/>
    <w:rsid w:val="00AC639D"/>
    <w:rsid w:val="00AD48AC"/>
    <w:rsid w:val="00C056A5"/>
    <w:rsid w:val="00CB3431"/>
    <w:rsid w:val="00CE2A08"/>
    <w:rsid w:val="00D54AC7"/>
    <w:rsid w:val="00D869D3"/>
    <w:rsid w:val="00DA2675"/>
    <w:rsid w:val="00DB0053"/>
    <w:rsid w:val="00DE3836"/>
    <w:rsid w:val="00E60E75"/>
    <w:rsid w:val="00F231A3"/>
    <w:rsid w:val="00F4546E"/>
    <w:rsid w:val="00FA1B82"/>
    <w:rsid w:val="00FC3AC7"/>
    <w:rsid w:val="00FF59FE"/>
    <w:rsid w:val="012E60F7"/>
    <w:rsid w:val="018F4079"/>
    <w:rsid w:val="019C42B1"/>
    <w:rsid w:val="01A744D1"/>
    <w:rsid w:val="01AE5872"/>
    <w:rsid w:val="01B9288C"/>
    <w:rsid w:val="01D27083"/>
    <w:rsid w:val="020620FE"/>
    <w:rsid w:val="02071C2B"/>
    <w:rsid w:val="02121C5D"/>
    <w:rsid w:val="021711BF"/>
    <w:rsid w:val="027D5EB2"/>
    <w:rsid w:val="02870BEF"/>
    <w:rsid w:val="02C37FA4"/>
    <w:rsid w:val="02EC05E5"/>
    <w:rsid w:val="03934D43"/>
    <w:rsid w:val="03B45C74"/>
    <w:rsid w:val="047F5600"/>
    <w:rsid w:val="04807EC5"/>
    <w:rsid w:val="04B970D4"/>
    <w:rsid w:val="04F949DE"/>
    <w:rsid w:val="053C766F"/>
    <w:rsid w:val="05473FED"/>
    <w:rsid w:val="05592DAF"/>
    <w:rsid w:val="05C673A5"/>
    <w:rsid w:val="06047D48"/>
    <w:rsid w:val="06063FB4"/>
    <w:rsid w:val="060B3061"/>
    <w:rsid w:val="06285F4E"/>
    <w:rsid w:val="064E68C0"/>
    <w:rsid w:val="06A84583"/>
    <w:rsid w:val="078029F0"/>
    <w:rsid w:val="07947E4B"/>
    <w:rsid w:val="07AD0F33"/>
    <w:rsid w:val="07AD1777"/>
    <w:rsid w:val="07B45E98"/>
    <w:rsid w:val="07E62FDA"/>
    <w:rsid w:val="07FD4909"/>
    <w:rsid w:val="08303E89"/>
    <w:rsid w:val="085876CF"/>
    <w:rsid w:val="08DB2EDC"/>
    <w:rsid w:val="08E21F8A"/>
    <w:rsid w:val="093A1AC7"/>
    <w:rsid w:val="093D3E03"/>
    <w:rsid w:val="09614D3D"/>
    <w:rsid w:val="09772C97"/>
    <w:rsid w:val="09795489"/>
    <w:rsid w:val="099636AA"/>
    <w:rsid w:val="09D20853"/>
    <w:rsid w:val="09E13B53"/>
    <w:rsid w:val="0A156CDF"/>
    <w:rsid w:val="0A6E36DB"/>
    <w:rsid w:val="0A713B43"/>
    <w:rsid w:val="0A72298A"/>
    <w:rsid w:val="0AFB0077"/>
    <w:rsid w:val="0B231062"/>
    <w:rsid w:val="0B304245"/>
    <w:rsid w:val="0B3D2BA6"/>
    <w:rsid w:val="0B576876"/>
    <w:rsid w:val="0B583635"/>
    <w:rsid w:val="0C59349C"/>
    <w:rsid w:val="0CA61251"/>
    <w:rsid w:val="0CB00F86"/>
    <w:rsid w:val="0D63594E"/>
    <w:rsid w:val="0D7D27D7"/>
    <w:rsid w:val="0DAF2902"/>
    <w:rsid w:val="0DF416D4"/>
    <w:rsid w:val="0E0C18E1"/>
    <w:rsid w:val="0E3C050A"/>
    <w:rsid w:val="0E7B4794"/>
    <w:rsid w:val="0EFD219F"/>
    <w:rsid w:val="0F7F4670"/>
    <w:rsid w:val="0F88614D"/>
    <w:rsid w:val="0F8E449F"/>
    <w:rsid w:val="0FAA09EF"/>
    <w:rsid w:val="0FB4252B"/>
    <w:rsid w:val="0FCE087C"/>
    <w:rsid w:val="0FF37098"/>
    <w:rsid w:val="0FF81AD3"/>
    <w:rsid w:val="0FFB5583"/>
    <w:rsid w:val="10377E0E"/>
    <w:rsid w:val="105070ED"/>
    <w:rsid w:val="10674BC7"/>
    <w:rsid w:val="107E67A1"/>
    <w:rsid w:val="10B7530D"/>
    <w:rsid w:val="117143B2"/>
    <w:rsid w:val="11735A30"/>
    <w:rsid w:val="11811079"/>
    <w:rsid w:val="11815F51"/>
    <w:rsid w:val="118A618A"/>
    <w:rsid w:val="11A03257"/>
    <w:rsid w:val="11B36E96"/>
    <w:rsid w:val="11C04DE9"/>
    <w:rsid w:val="11D42687"/>
    <w:rsid w:val="121A23BD"/>
    <w:rsid w:val="121D2670"/>
    <w:rsid w:val="12733275"/>
    <w:rsid w:val="12832BDA"/>
    <w:rsid w:val="12B63290"/>
    <w:rsid w:val="12D23E0C"/>
    <w:rsid w:val="12DE16A7"/>
    <w:rsid w:val="12E74AD0"/>
    <w:rsid w:val="1323789C"/>
    <w:rsid w:val="133B501A"/>
    <w:rsid w:val="134347E7"/>
    <w:rsid w:val="13A053BE"/>
    <w:rsid w:val="13C038F3"/>
    <w:rsid w:val="13E67AE7"/>
    <w:rsid w:val="13F81020"/>
    <w:rsid w:val="142E4A09"/>
    <w:rsid w:val="143C5427"/>
    <w:rsid w:val="143E77CB"/>
    <w:rsid w:val="15186A1A"/>
    <w:rsid w:val="153828D9"/>
    <w:rsid w:val="155B65CD"/>
    <w:rsid w:val="158644D7"/>
    <w:rsid w:val="159E5571"/>
    <w:rsid w:val="15AC3CE4"/>
    <w:rsid w:val="15CF6379"/>
    <w:rsid w:val="15E72CC4"/>
    <w:rsid w:val="161C3E0C"/>
    <w:rsid w:val="162A32D3"/>
    <w:rsid w:val="163B4A6C"/>
    <w:rsid w:val="166A7C94"/>
    <w:rsid w:val="166C6015"/>
    <w:rsid w:val="16807D41"/>
    <w:rsid w:val="16861C31"/>
    <w:rsid w:val="169C354E"/>
    <w:rsid w:val="169D22F4"/>
    <w:rsid w:val="16C04CC9"/>
    <w:rsid w:val="16D16A09"/>
    <w:rsid w:val="170B47F2"/>
    <w:rsid w:val="172C6BE3"/>
    <w:rsid w:val="17955DEB"/>
    <w:rsid w:val="17B86AD7"/>
    <w:rsid w:val="18365A0D"/>
    <w:rsid w:val="18B4431E"/>
    <w:rsid w:val="192468A8"/>
    <w:rsid w:val="19944C5E"/>
    <w:rsid w:val="19B114A1"/>
    <w:rsid w:val="19BA6E03"/>
    <w:rsid w:val="1ADB4120"/>
    <w:rsid w:val="1B38094C"/>
    <w:rsid w:val="1B40792B"/>
    <w:rsid w:val="1BA51BFE"/>
    <w:rsid w:val="1BB4617A"/>
    <w:rsid w:val="1C041B4A"/>
    <w:rsid w:val="1C077789"/>
    <w:rsid w:val="1C15737C"/>
    <w:rsid w:val="1C1B73F4"/>
    <w:rsid w:val="1C2B30D9"/>
    <w:rsid w:val="1C94361A"/>
    <w:rsid w:val="1CC733B9"/>
    <w:rsid w:val="1D5D0DA1"/>
    <w:rsid w:val="1D845652"/>
    <w:rsid w:val="1D850ACF"/>
    <w:rsid w:val="1D8C4251"/>
    <w:rsid w:val="1DA053F9"/>
    <w:rsid w:val="1DB565E7"/>
    <w:rsid w:val="1E2E76AC"/>
    <w:rsid w:val="1ECC40A2"/>
    <w:rsid w:val="1F6373B4"/>
    <w:rsid w:val="1F6C5F0D"/>
    <w:rsid w:val="1FF04C75"/>
    <w:rsid w:val="20B330AB"/>
    <w:rsid w:val="20FC595A"/>
    <w:rsid w:val="217B21F9"/>
    <w:rsid w:val="217F4055"/>
    <w:rsid w:val="21AB746C"/>
    <w:rsid w:val="221F58BD"/>
    <w:rsid w:val="224716B5"/>
    <w:rsid w:val="226C5BEF"/>
    <w:rsid w:val="22726196"/>
    <w:rsid w:val="228D1637"/>
    <w:rsid w:val="22911C5D"/>
    <w:rsid w:val="22C03A6A"/>
    <w:rsid w:val="232677F4"/>
    <w:rsid w:val="232910DA"/>
    <w:rsid w:val="235D703C"/>
    <w:rsid w:val="236C0A16"/>
    <w:rsid w:val="23931BA5"/>
    <w:rsid w:val="239C0D04"/>
    <w:rsid w:val="23CA1495"/>
    <w:rsid w:val="24442876"/>
    <w:rsid w:val="24672932"/>
    <w:rsid w:val="24710EA2"/>
    <w:rsid w:val="24D5255C"/>
    <w:rsid w:val="2527057C"/>
    <w:rsid w:val="25297085"/>
    <w:rsid w:val="25506F3B"/>
    <w:rsid w:val="255A4AD9"/>
    <w:rsid w:val="25B90E27"/>
    <w:rsid w:val="25C039CF"/>
    <w:rsid w:val="25C91ECD"/>
    <w:rsid w:val="26543C2E"/>
    <w:rsid w:val="26672A31"/>
    <w:rsid w:val="2673395F"/>
    <w:rsid w:val="27032943"/>
    <w:rsid w:val="272A00F3"/>
    <w:rsid w:val="27444924"/>
    <w:rsid w:val="275C3465"/>
    <w:rsid w:val="2771485E"/>
    <w:rsid w:val="2774085F"/>
    <w:rsid w:val="28567B2A"/>
    <w:rsid w:val="288C4259"/>
    <w:rsid w:val="28AD1D13"/>
    <w:rsid w:val="28CE78B4"/>
    <w:rsid w:val="293A48C5"/>
    <w:rsid w:val="296D5007"/>
    <w:rsid w:val="29A23F11"/>
    <w:rsid w:val="29B238F6"/>
    <w:rsid w:val="29C37F84"/>
    <w:rsid w:val="29EA4D09"/>
    <w:rsid w:val="2A742706"/>
    <w:rsid w:val="2AB9620F"/>
    <w:rsid w:val="2ADD6999"/>
    <w:rsid w:val="2B666C19"/>
    <w:rsid w:val="2B9C3D77"/>
    <w:rsid w:val="2BDC3649"/>
    <w:rsid w:val="2BDF10CD"/>
    <w:rsid w:val="2BE826A2"/>
    <w:rsid w:val="2C027583"/>
    <w:rsid w:val="2C047329"/>
    <w:rsid w:val="2C220204"/>
    <w:rsid w:val="2C3462DF"/>
    <w:rsid w:val="2CB4112A"/>
    <w:rsid w:val="2CB70A4F"/>
    <w:rsid w:val="2CBC3D7D"/>
    <w:rsid w:val="2CC71E52"/>
    <w:rsid w:val="2CD51F97"/>
    <w:rsid w:val="2CDF0E71"/>
    <w:rsid w:val="2D4F61C9"/>
    <w:rsid w:val="2D7D30C9"/>
    <w:rsid w:val="2DA7392A"/>
    <w:rsid w:val="2DED3EDA"/>
    <w:rsid w:val="2E4C207C"/>
    <w:rsid w:val="2EDF5C44"/>
    <w:rsid w:val="2EF77B89"/>
    <w:rsid w:val="2EF93296"/>
    <w:rsid w:val="2F1A37AC"/>
    <w:rsid w:val="2F3D0DF4"/>
    <w:rsid w:val="2FBC0CDA"/>
    <w:rsid w:val="2FBD56DD"/>
    <w:rsid w:val="2FE84025"/>
    <w:rsid w:val="2FF05140"/>
    <w:rsid w:val="2FF879CE"/>
    <w:rsid w:val="306B0C85"/>
    <w:rsid w:val="30A6152A"/>
    <w:rsid w:val="31012196"/>
    <w:rsid w:val="3140497A"/>
    <w:rsid w:val="31406E32"/>
    <w:rsid w:val="322B6AF8"/>
    <w:rsid w:val="32A36C20"/>
    <w:rsid w:val="335C1757"/>
    <w:rsid w:val="33746DB3"/>
    <w:rsid w:val="337B46BC"/>
    <w:rsid w:val="338B7ECF"/>
    <w:rsid w:val="33D16FE7"/>
    <w:rsid w:val="34291213"/>
    <w:rsid w:val="344D34E1"/>
    <w:rsid w:val="34515C51"/>
    <w:rsid w:val="34524523"/>
    <w:rsid w:val="347275EA"/>
    <w:rsid w:val="349D0E96"/>
    <w:rsid w:val="34C14C6E"/>
    <w:rsid w:val="34E6088F"/>
    <w:rsid w:val="35303A30"/>
    <w:rsid w:val="357C62FA"/>
    <w:rsid w:val="35B40DE4"/>
    <w:rsid w:val="35BD65D4"/>
    <w:rsid w:val="361D740E"/>
    <w:rsid w:val="362D7AA7"/>
    <w:rsid w:val="364B7178"/>
    <w:rsid w:val="369029E5"/>
    <w:rsid w:val="36B10A38"/>
    <w:rsid w:val="36B84E60"/>
    <w:rsid w:val="36C67D5A"/>
    <w:rsid w:val="36C92DF7"/>
    <w:rsid w:val="37031BBD"/>
    <w:rsid w:val="37550F57"/>
    <w:rsid w:val="3813788B"/>
    <w:rsid w:val="38931838"/>
    <w:rsid w:val="389678A9"/>
    <w:rsid w:val="39033E4D"/>
    <w:rsid w:val="393346C1"/>
    <w:rsid w:val="394E06A6"/>
    <w:rsid w:val="39527AD9"/>
    <w:rsid w:val="398805DD"/>
    <w:rsid w:val="39A52E8B"/>
    <w:rsid w:val="39A9504D"/>
    <w:rsid w:val="39ED0A25"/>
    <w:rsid w:val="3A032BBD"/>
    <w:rsid w:val="3A364539"/>
    <w:rsid w:val="3A3B2F00"/>
    <w:rsid w:val="3AAA1D5D"/>
    <w:rsid w:val="3ADB5EF2"/>
    <w:rsid w:val="3ADF3E50"/>
    <w:rsid w:val="3AE67BF5"/>
    <w:rsid w:val="3B2F069D"/>
    <w:rsid w:val="3B80138A"/>
    <w:rsid w:val="3BB9674C"/>
    <w:rsid w:val="3BEE4862"/>
    <w:rsid w:val="3BFA0593"/>
    <w:rsid w:val="3C0F72A3"/>
    <w:rsid w:val="3C106331"/>
    <w:rsid w:val="3C166763"/>
    <w:rsid w:val="3C1B7086"/>
    <w:rsid w:val="3C4A2BBF"/>
    <w:rsid w:val="3C541554"/>
    <w:rsid w:val="3CAB1D03"/>
    <w:rsid w:val="3CBA2F18"/>
    <w:rsid w:val="3CF0564A"/>
    <w:rsid w:val="3D1C130D"/>
    <w:rsid w:val="3D322317"/>
    <w:rsid w:val="3D3B7A64"/>
    <w:rsid w:val="3D606C60"/>
    <w:rsid w:val="3D7B789B"/>
    <w:rsid w:val="3D8539D9"/>
    <w:rsid w:val="3DC2102F"/>
    <w:rsid w:val="3DD11929"/>
    <w:rsid w:val="3DD62883"/>
    <w:rsid w:val="3DE2592A"/>
    <w:rsid w:val="3E2933DE"/>
    <w:rsid w:val="3E727394"/>
    <w:rsid w:val="3E79182A"/>
    <w:rsid w:val="3EAA10EE"/>
    <w:rsid w:val="3F6B653E"/>
    <w:rsid w:val="3FD63423"/>
    <w:rsid w:val="3FE06A90"/>
    <w:rsid w:val="40101254"/>
    <w:rsid w:val="40310E23"/>
    <w:rsid w:val="40603126"/>
    <w:rsid w:val="40D73CE7"/>
    <w:rsid w:val="40F92E07"/>
    <w:rsid w:val="4114636C"/>
    <w:rsid w:val="412E5D2C"/>
    <w:rsid w:val="41514AB8"/>
    <w:rsid w:val="41A00A5C"/>
    <w:rsid w:val="4216703D"/>
    <w:rsid w:val="4234016A"/>
    <w:rsid w:val="4247284E"/>
    <w:rsid w:val="42537038"/>
    <w:rsid w:val="42AD609A"/>
    <w:rsid w:val="430A7616"/>
    <w:rsid w:val="43407D5F"/>
    <w:rsid w:val="438065C8"/>
    <w:rsid w:val="43CE64FB"/>
    <w:rsid w:val="440A25A4"/>
    <w:rsid w:val="440F482D"/>
    <w:rsid w:val="446C773E"/>
    <w:rsid w:val="446E6091"/>
    <w:rsid w:val="44B463BE"/>
    <w:rsid w:val="44D53400"/>
    <w:rsid w:val="44ED3F8B"/>
    <w:rsid w:val="457F37C9"/>
    <w:rsid w:val="45CF247A"/>
    <w:rsid w:val="45D43450"/>
    <w:rsid w:val="46936F11"/>
    <w:rsid w:val="469D22E5"/>
    <w:rsid w:val="46C3483E"/>
    <w:rsid w:val="46F7639E"/>
    <w:rsid w:val="4745161F"/>
    <w:rsid w:val="47452835"/>
    <w:rsid w:val="48010421"/>
    <w:rsid w:val="481D4AC2"/>
    <w:rsid w:val="48E63C5B"/>
    <w:rsid w:val="49037A35"/>
    <w:rsid w:val="49603632"/>
    <w:rsid w:val="49682BA3"/>
    <w:rsid w:val="49A87693"/>
    <w:rsid w:val="49D97148"/>
    <w:rsid w:val="4A24226A"/>
    <w:rsid w:val="4A4C14F5"/>
    <w:rsid w:val="4A585943"/>
    <w:rsid w:val="4A9D16CE"/>
    <w:rsid w:val="4AB51EEF"/>
    <w:rsid w:val="4ADC327B"/>
    <w:rsid w:val="4AF61082"/>
    <w:rsid w:val="4B3C75C7"/>
    <w:rsid w:val="4C570350"/>
    <w:rsid w:val="4CAC2C25"/>
    <w:rsid w:val="4CD21630"/>
    <w:rsid w:val="4CE07687"/>
    <w:rsid w:val="4D1511CD"/>
    <w:rsid w:val="4D6E5A1F"/>
    <w:rsid w:val="4D887416"/>
    <w:rsid w:val="4D946425"/>
    <w:rsid w:val="4DBA50C1"/>
    <w:rsid w:val="4DD86A7D"/>
    <w:rsid w:val="4DEE715F"/>
    <w:rsid w:val="4E281379"/>
    <w:rsid w:val="4E926DB8"/>
    <w:rsid w:val="4EB840AD"/>
    <w:rsid w:val="4EE93459"/>
    <w:rsid w:val="4F2B6410"/>
    <w:rsid w:val="4F2F4364"/>
    <w:rsid w:val="503D460F"/>
    <w:rsid w:val="50912A3F"/>
    <w:rsid w:val="50B61CCD"/>
    <w:rsid w:val="50DA1229"/>
    <w:rsid w:val="50F33A6E"/>
    <w:rsid w:val="5155776B"/>
    <w:rsid w:val="51E24992"/>
    <w:rsid w:val="523303D9"/>
    <w:rsid w:val="524662F7"/>
    <w:rsid w:val="52605193"/>
    <w:rsid w:val="52890D07"/>
    <w:rsid w:val="52C955A4"/>
    <w:rsid w:val="52DB6091"/>
    <w:rsid w:val="53884282"/>
    <w:rsid w:val="539D280D"/>
    <w:rsid w:val="53A01C4C"/>
    <w:rsid w:val="53C447D1"/>
    <w:rsid w:val="53FF2A29"/>
    <w:rsid w:val="54095294"/>
    <w:rsid w:val="540D5633"/>
    <w:rsid w:val="54546789"/>
    <w:rsid w:val="54556FA0"/>
    <w:rsid w:val="54816F85"/>
    <w:rsid w:val="548D10AB"/>
    <w:rsid w:val="54B0031A"/>
    <w:rsid w:val="54C479D3"/>
    <w:rsid w:val="54F602C2"/>
    <w:rsid w:val="54F96620"/>
    <w:rsid w:val="550D2661"/>
    <w:rsid w:val="55686CFC"/>
    <w:rsid w:val="557F0240"/>
    <w:rsid w:val="55850194"/>
    <w:rsid w:val="55981FC5"/>
    <w:rsid w:val="55A07C95"/>
    <w:rsid w:val="55D54B09"/>
    <w:rsid w:val="56297963"/>
    <w:rsid w:val="5639439B"/>
    <w:rsid w:val="5641109C"/>
    <w:rsid w:val="564601FA"/>
    <w:rsid w:val="56482382"/>
    <w:rsid w:val="5680767A"/>
    <w:rsid w:val="56965119"/>
    <w:rsid w:val="56C55C66"/>
    <w:rsid w:val="56F546FF"/>
    <w:rsid w:val="56F629E3"/>
    <w:rsid w:val="57017BD1"/>
    <w:rsid w:val="572E5C3C"/>
    <w:rsid w:val="57E040F3"/>
    <w:rsid w:val="57F57D7F"/>
    <w:rsid w:val="585B641C"/>
    <w:rsid w:val="58E56E89"/>
    <w:rsid w:val="59322B7D"/>
    <w:rsid w:val="593B22E3"/>
    <w:rsid w:val="595B6AA6"/>
    <w:rsid w:val="595B71BC"/>
    <w:rsid w:val="59691BA3"/>
    <w:rsid w:val="59BF2900"/>
    <w:rsid w:val="59D5095F"/>
    <w:rsid w:val="59DA02C7"/>
    <w:rsid w:val="59FE5E7A"/>
    <w:rsid w:val="5A045EE2"/>
    <w:rsid w:val="5A057B46"/>
    <w:rsid w:val="5A097358"/>
    <w:rsid w:val="5A7B427C"/>
    <w:rsid w:val="5AF3365C"/>
    <w:rsid w:val="5B1A609B"/>
    <w:rsid w:val="5B7D2D1C"/>
    <w:rsid w:val="5BF33617"/>
    <w:rsid w:val="5CC62510"/>
    <w:rsid w:val="5D235E8D"/>
    <w:rsid w:val="5DDA2782"/>
    <w:rsid w:val="5E2C4572"/>
    <w:rsid w:val="5E3A08B2"/>
    <w:rsid w:val="5E7A668B"/>
    <w:rsid w:val="5E9251B9"/>
    <w:rsid w:val="5EF4769A"/>
    <w:rsid w:val="5F000B27"/>
    <w:rsid w:val="5F160931"/>
    <w:rsid w:val="5F225601"/>
    <w:rsid w:val="5F317755"/>
    <w:rsid w:val="5F5F0E00"/>
    <w:rsid w:val="5F773EA9"/>
    <w:rsid w:val="5F8D462B"/>
    <w:rsid w:val="5F9C4BB1"/>
    <w:rsid w:val="5F9E7FD5"/>
    <w:rsid w:val="5FBD3A38"/>
    <w:rsid w:val="5FC77A33"/>
    <w:rsid w:val="60326087"/>
    <w:rsid w:val="608B3D3A"/>
    <w:rsid w:val="60D263B9"/>
    <w:rsid w:val="60FD688E"/>
    <w:rsid w:val="60FE3E6C"/>
    <w:rsid w:val="618E7EC1"/>
    <w:rsid w:val="61E83468"/>
    <w:rsid w:val="62BA3990"/>
    <w:rsid w:val="62DA4939"/>
    <w:rsid w:val="63132977"/>
    <w:rsid w:val="633A2C2F"/>
    <w:rsid w:val="6357783B"/>
    <w:rsid w:val="636408D6"/>
    <w:rsid w:val="637E713C"/>
    <w:rsid w:val="63CC76A8"/>
    <w:rsid w:val="63D00B3E"/>
    <w:rsid w:val="63DC3656"/>
    <w:rsid w:val="63DE343C"/>
    <w:rsid w:val="63FC14A5"/>
    <w:rsid w:val="642377E2"/>
    <w:rsid w:val="649522CA"/>
    <w:rsid w:val="64D73340"/>
    <w:rsid w:val="655A58A0"/>
    <w:rsid w:val="65640A91"/>
    <w:rsid w:val="65712FD9"/>
    <w:rsid w:val="65DE3B6B"/>
    <w:rsid w:val="65E01AD1"/>
    <w:rsid w:val="65EF254D"/>
    <w:rsid w:val="662242CD"/>
    <w:rsid w:val="664B19B8"/>
    <w:rsid w:val="66603996"/>
    <w:rsid w:val="66C265D1"/>
    <w:rsid w:val="6731630F"/>
    <w:rsid w:val="673B0CDD"/>
    <w:rsid w:val="674135D5"/>
    <w:rsid w:val="67AF2541"/>
    <w:rsid w:val="67C759EF"/>
    <w:rsid w:val="68035993"/>
    <w:rsid w:val="683C1A5E"/>
    <w:rsid w:val="684D64AB"/>
    <w:rsid w:val="6940541B"/>
    <w:rsid w:val="695C22B9"/>
    <w:rsid w:val="697F358D"/>
    <w:rsid w:val="69843941"/>
    <w:rsid w:val="69A76971"/>
    <w:rsid w:val="69DE673A"/>
    <w:rsid w:val="69E974C0"/>
    <w:rsid w:val="69F43372"/>
    <w:rsid w:val="6A547935"/>
    <w:rsid w:val="6AE01C86"/>
    <w:rsid w:val="6B086DE2"/>
    <w:rsid w:val="6B601BD5"/>
    <w:rsid w:val="6B677048"/>
    <w:rsid w:val="6B6E41E6"/>
    <w:rsid w:val="6BB210EF"/>
    <w:rsid w:val="6BEC0C11"/>
    <w:rsid w:val="6BF63042"/>
    <w:rsid w:val="6C0546CB"/>
    <w:rsid w:val="6C286AFD"/>
    <w:rsid w:val="6C3F7732"/>
    <w:rsid w:val="6C66274B"/>
    <w:rsid w:val="6C7A7BFA"/>
    <w:rsid w:val="6CEF7F24"/>
    <w:rsid w:val="6CFD408C"/>
    <w:rsid w:val="6D0A1917"/>
    <w:rsid w:val="6D42420D"/>
    <w:rsid w:val="6D480A78"/>
    <w:rsid w:val="6DDE33A9"/>
    <w:rsid w:val="6DE12EAD"/>
    <w:rsid w:val="6E326098"/>
    <w:rsid w:val="6E5A378C"/>
    <w:rsid w:val="6E6B74F4"/>
    <w:rsid w:val="6E812E85"/>
    <w:rsid w:val="6E8143EE"/>
    <w:rsid w:val="6E8530F2"/>
    <w:rsid w:val="6EA47189"/>
    <w:rsid w:val="6EC01FDC"/>
    <w:rsid w:val="6EDF0B86"/>
    <w:rsid w:val="6F027575"/>
    <w:rsid w:val="6F1E7738"/>
    <w:rsid w:val="6F9B23DA"/>
    <w:rsid w:val="6FF75AFB"/>
    <w:rsid w:val="70506D0C"/>
    <w:rsid w:val="71DB7E8B"/>
    <w:rsid w:val="72761591"/>
    <w:rsid w:val="72906843"/>
    <w:rsid w:val="72A36844"/>
    <w:rsid w:val="72BF1536"/>
    <w:rsid w:val="72CF14D4"/>
    <w:rsid w:val="72E05965"/>
    <w:rsid w:val="72EE3529"/>
    <w:rsid w:val="72F23835"/>
    <w:rsid w:val="73134B97"/>
    <w:rsid w:val="732D6CD9"/>
    <w:rsid w:val="732D6D1A"/>
    <w:rsid w:val="7355777E"/>
    <w:rsid w:val="73626D40"/>
    <w:rsid w:val="7368497B"/>
    <w:rsid w:val="73B50938"/>
    <w:rsid w:val="73E61E94"/>
    <w:rsid w:val="74232000"/>
    <w:rsid w:val="743A6991"/>
    <w:rsid w:val="743C5116"/>
    <w:rsid w:val="747B724D"/>
    <w:rsid w:val="74823260"/>
    <w:rsid w:val="7498666F"/>
    <w:rsid w:val="74C834D0"/>
    <w:rsid w:val="754350A2"/>
    <w:rsid w:val="7545684B"/>
    <w:rsid w:val="759016F4"/>
    <w:rsid w:val="75A538D4"/>
    <w:rsid w:val="75C406A2"/>
    <w:rsid w:val="75CF2E77"/>
    <w:rsid w:val="76626F76"/>
    <w:rsid w:val="76AF48EC"/>
    <w:rsid w:val="771503F9"/>
    <w:rsid w:val="771C10D4"/>
    <w:rsid w:val="77226B5D"/>
    <w:rsid w:val="77234719"/>
    <w:rsid w:val="77342AB3"/>
    <w:rsid w:val="77E96525"/>
    <w:rsid w:val="78056103"/>
    <w:rsid w:val="78633BAF"/>
    <w:rsid w:val="788D3CD7"/>
    <w:rsid w:val="78D67AA0"/>
    <w:rsid w:val="78F570CA"/>
    <w:rsid w:val="790949E7"/>
    <w:rsid w:val="792800B4"/>
    <w:rsid w:val="793324E3"/>
    <w:rsid w:val="794D1164"/>
    <w:rsid w:val="79696F18"/>
    <w:rsid w:val="79757C70"/>
    <w:rsid w:val="7A0E4311"/>
    <w:rsid w:val="7A837D2F"/>
    <w:rsid w:val="7AB27B2B"/>
    <w:rsid w:val="7B3B35FF"/>
    <w:rsid w:val="7B47087B"/>
    <w:rsid w:val="7B603C73"/>
    <w:rsid w:val="7B944CB6"/>
    <w:rsid w:val="7C0842D6"/>
    <w:rsid w:val="7C3C2662"/>
    <w:rsid w:val="7C4C6B92"/>
    <w:rsid w:val="7C6E5AE5"/>
    <w:rsid w:val="7C7A7ECB"/>
    <w:rsid w:val="7CA00A65"/>
    <w:rsid w:val="7D7307B1"/>
    <w:rsid w:val="7D7B6E68"/>
    <w:rsid w:val="7D8F5B87"/>
    <w:rsid w:val="7DB8519E"/>
    <w:rsid w:val="7DD6561D"/>
    <w:rsid w:val="7DF52776"/>
    <w:rsid w:val="7E423A72"/>
    <w:rsid w:val="7EA61302"/>
    <w:rsid w:val="7EB27DEF"/>
    <w:rsid w:val="7EC621A9"/>
    <w:rsid w:val="7F927F55"/>
    <w:rsid w:val="7FBD67DF"/>
    <w:rsid w:val="7FD2342D"/>
    <w:rsid w:val="7FF95E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36"/>
      <w:szCs w:val="24"/>
      <w:lang w:val="en-US" w:eastAsia="zh-CN" w:bidi="ar-SA"/>
    </w:rPr>
  </w:style>
  <w:style w:type="paragraph" w:styleId="4">
    <w:name w:val="heading 1"/>
    <w:basedOn w:val="1"/>
    <w:next w:val="1"/>
    <w:autoRedefine/>
    <w:qFormat/>
    <w:uiPriority w:val="0"/>
    <w:pPr>
      <w:keepNext/>
      <w:keepLines/>
      <w:spacing w:line="576" w:lineRule="auto"/>
      <w:outlineLvl w:val="0"/>
    </w:pPr>
    <w:rPr>
      <w:b/>
      <w:bCs/>
      <w:kern w:val="44"/>
      <w:sz w:val="44"/>
      <w:szCs w:val="44"/>
    </w:rPr>
  </w:style>
  <w:style w:type="paragraph" w:styleId="5">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1"/>
      <w:szCs w:val="22"/>
    </w:rPr>
  </w:style>
  <w:style w:type="paragraph" w:styleId="3">
    <w:name w:val="Body Text First Indent"/>
    <w:basedOn w:val="2"/>
    <w:autoRedefine/>
    <w:qFormat/>
    <w:uiPriority w:val="0"/>
    <w:pPr>
      <w:ind w:firstLine="420" w:firstLineChars="100"/>
    </w:pPr>
  </w:style>
  <w:style w:type="paragraph" w:styleId="8">
    <w:name w:val="Normal Indent"/>
    <w:basedOn w:val="1"/>
    <w:next w:val="9"/>
    <w:autoRedefine/>
    <w:qFormat/>
    <w:uiPriority w:val="0"/>
    <w:pPr>
      <w:ind w:firstLine="420"/>
    </w:pPr>
    <w:rPr>
      <w:sz w:val="21"/>
      <w:szCs w:val="20"/>
    </w:rPr>
  </w:style>
  <w:style w:type="paragraph" w:styleId="9">
    <w:name w:val="Body Text Indent"/>
    <w:basedOn w:val="1"/>
    <w:next w:val="10"/>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0">
    <w:name w:val="envelope return"/>
    <w:basedOn w:val="1"/>
    <w:autoRedefine/>
    <w:qFormat/>
    <w:uiPriority w:val="0"/>
    <w:pPr>
      <w:snapToGrid w:val="0"/>
    </w:pPr>
    <w:rPr>
      <w:rFonts w:ascii="Arial" w:hAnsi="Arial"/>
    </w:rPr>
  </w:style>
  <w:style w:type="paragraph" w:styleId="11">
    <w:name w:val="annotation text"/>
    <w:basedOn w:val="1"/>
    <w:autoRedefine/>
    <w:qFormat/>
    <w:uiPriority w:val="0"/>
    <w:pPr>
      <w:jc w:val="left"/>
    </w:pPr>
  </w:style>
  <w:style w:type="paragraph" w:styleId="12">
    <w:name w:val="Block Text"/>
    <w:basedOn w:val="1"/>
    <w:autoRedefine/>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13">
    <w:name w:val="Plain Text"/>
    <w:basedOn w:val="1"/>
    <w:next w:val="1"/>
    <w:autoRedefine/>
    <w:qFormat/>
    <w:uiPriority w:val="0"/>
    <w:rPr>
      <w:rFonts w:ascii="宋体" w:hAnsi="Courier New"/>
      <w:sz w:val="21"/>
      <w:szCs w:val="20"/>
    </w:rPr>
  </w:style>
  <w:style w:type="paragraph" w:styleId="14">
    <w:name w:val="Date"/>
    <w:basedOn w:val="1"/>
    <w:next w:val="1"/>
    <w:autoRedefine/>
    <w:qFormat/>
    <w:uiPriority w:val="0"/>
    <w:pPr>
      <w:ind w:left="100" w:leftChars="2500"/>
    </w:pPr>
  </w:style>
  <w:style w:type="paragraph" w:styleId="15">
    <w:name w:val="Balloon Text"/>
    <w:basedOn w:val="1"/>
    <w:link w:val="55"/>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tabs>
        <w:tab w:val="right" w:leader="dot" w:pos="9628"/>
      </w:tabs>
      <w:jc w:val="center"/>
    </w:pPr>
    <w:rPr>
      <w:b/>
      <w:sz w:val="52"/>
      <w:szCs w:val="52"/>
    </w:rPr>
  </w:style>
  <w:style w:type="paragraph" w:styleId="19">
    <w:name w:val="toc 4"/>
    <w:basedOn w:val="1"/>
    <w:next w:val="1"/>
    <w:autoRedefine/>
    <w:qFormat/>
    <w:uiPriority w:val="0"/>
    <w:pPr>
      <w:ind w:left="630"/>
      <w:jc w:val="left"/>
    </w:pPr>
    <w:rPr>
      <w:sz w:val="18"/>
      <w:szCs w:val="18"/>
    </w:rPr>
  </w:style>
  <w:style w:type="paragraph" w:styleId="20">
    <w:name w:val="footnote text"/>
    <w:basedOn w:val="1"/>
    <w:autoRedefine/>
    <w:unhideWhenUsed/>
    <w:qFormat/>
    <w:uiPriority w:val="99"/>
    <w:pPr>
      <w:snapToGrid w:val="0"/>
      <w:jc w:val="left"/>
    </w:pPr>
    <w:rPr>
      <w:sz w:val="18"/>
    </w:rPr>
  </w:style>
  <w:style w:type="paragraph" w:styleId="21">
    <w:name w:val="toc 6"/>
    <w:basedOn w:val="1"/>
    <w:next w:val="1"/>
    <w:autoRedefine/>
    <w:qFormat/>
    <w:uiPriority w:val="0"/>
    <w:pPr>
      <w:ind w:left="1050"/>
      <w:jc w:val="left"/>
    </w:pPr>
    <w:rPr>
      <w:sz w:val="18"/>
      <w:szCs w:val="18"/>
    </w:rPr>
  </w:style>
  <w:style w:type="paragraph" w:styleId="22">
    <w:name w:val="Body Text Indent 3"/>
    <w:basedOn w:val="1"/>
    <w:autoRedefine/>
    <w:qFormat/>
    <w:uiPriority w:val="0"/>
    <w:pPr>
      <w:ind w:left="420" w:leftChars="200"/>
    </w:pPr>
    <w:rPr>
      <w:sz w:val="16"/>
      <w:szCs w:val="16"/>
    </w:rPr>
  </w:style>
  <w:style w:type="paragraph" w:styleId="23">
    <w:name w:val="Normal (Web)"/>
    <w:basedOn w:val="1"/>
    <w:autoRedefine/>
    <w:qFormat/>
    <w:uiPriority w:val="0"/>
    <w:pPr>
      <w:widowControl/>
      <w:spacing w:beforeAutospacing="1" w:afterAutospacing="1"/>
      <w:jc w:val="left"/>
    </w:pPr>
    <w:rPr>
      <w:rFonts w:hint="eastAsia" w:ascii="宋体" w:hAnsi="宋体"/>
      <w:kern w:val="0"/>
      <w:sz w:val="24"/>
    </w:rPr>
  </w:style>
  <w:style w:type="paragraph" w:styleId="24">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Body Text First Indent 2"/>
    <w:basedOn w:val="9"/>
    <w:next w:val="12"/>
    <w:autoRedefine/>
    <w:qFormat/>
    <w:uiPriority w:val="99"/>
    <w:pPr>
      <w:spacing w:after="120" w:line="240" w:lineRule="auto"/>
      <w:ind w:left="420" w:leftChars="200" w:firstLine="420" w:firstLineChars="200"/>
    </w:pPr>
    <w:rPr>
      <w:sz w:val="21"/>
      <w:szCs w:val="24"/>
    </w:rPr>
  </w:style>
  <w:style w:type="table" w:styleId="27">
    <w:name w:val="Table Grid"/>
    <w:basedOn w:val="2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style>
  <w:style w:type="character" w:styleId="30">
    <w:name w:val="page number"/>
    <w:basedOn w:val="28"/>
    <w:autoRedefine/>
    <w:qFormat/>
    <w:uiPriority w:val="0"/>
  </w:style>
  <w:style w:type="character" w:styleId="31">
    <w:name w:val="Hyperlink"/>
    <w:basedOn w:val="28"/>
    <w:autoRedefine/>
    <w:qFormat/>
    <w:uiPriority w:val="0"/>
    <w:rPr>
      <w:color w:val="0000FF"/>
      <w:u w:val="single"/>
    </w:rPr>
  </w:style>
  <w:style w:type="character" w:styleId="32">
    <w:name w:val="footnote reference"/>
    <w:basedOn w:val="28"/>
    <w:autoRedefine/>
    <w:unhideWhenUsed/>
    <w:qFormat/>
    <w:uiPriority w:val="99"/>
    <w:rPr>
      <w:vertAlign w:val="superscript"/>
    </w:rPr>
  </w:style>
  <w:style w:type="paragraph" w:customStyle="1" w:styleId="33">
    <w:name w:val="签发人"/>
    <w:basedOn w:val="1"/>
    <w:autoRedefine/>
    <w:qFormat/>
    <w:uiPriority w:val="0"/>
    <w:rPr>
      <w:rFonts w:eastAsia="楷体"/>
      <w:sz w:val="32"/>
    </w:rPr>
  </w:style>
  <w:style w:type="paragraph" w:customStyle="1" w:styleId="34">
    <w:name w:val="表格文字"/>
    <w:basedOn w:val="13"/>
    <w:next w:val="2"/>
    <w:autoRedefine/>
    <w:qFormat/>
    <w:uiPriority w:val="99"/>
    <w:pPr>
      <w:adjustRightInd w:val="0"/>
      <w:spacing w:line="420" w:lineRule="atLeast"/>
      <w:jc w:val="left"/>
      <w:textAlignment w:val="baseline"/>
    </w:pPr>
    <w:rPr>
      <w:kern w:val="0"/>
    </w:rPr>
  </w:style>
  <w:style w:type="paragraph" w:customStyle="1" w:styleId="35">
    <w:name w:val="BodyText1I2"/>
    <w:basedOn w:val="36"/>
    <w:next w:val="1"/>
    <w:autoRedefine/>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36">
    <w:name w:val="BodyTextIndent"/>
    <w:basedOn w:val="1"/>
    <w:next w:val="1"/>
    <w:autoRedefine/>
    <w:qFormat/>
    <w:uiPriority w:val="0"/>
    <w:pPr>
      <w:widowControl/>
      <w:snapToGrid w:val="0"/>
      <w:spacing w:before="120" w:line="400" w:lineRule="atLeast"/>
      <w:ind w:firstLine="570"/>
      <w:textAlignment w:val="bottom"/>
    </w:pPr>
    <w:rPr>
      <w:rFonts w:ascii="宋体" w:hAnsi="Times New Roman" w:eastAsia="宋体"/>
      <w:kern w:val="0"/>
      <w:sz w:val="24"/>
      <w:szCs w:val="20"/>
    </w:rPr>
  </w:style>
  <w:style w:type="paragraph" w:customStyle="1" w:styleId="37">
    <w:name w:val="首行缩进"/>
    <w:basedOn w:val="1"/>
    <w:autoRedefine/>
    <w:qFormat/>
    <w:uiPriority w:val="0"/>
    <w:rPr>
      <w:lang w:val="zh-CN"/>
    </w:rPr>
  </w:style>
  <w:style w:type="paragraph" w:customStyle="1" w:styleId="38">
    <w:name w:val="Char"/>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39">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1"/>
    <w:basedOn w:val="1"/>
    <w:autoRedefine/>
    <w:qFormat/>
    <w:uiPriority w:val="0"/>
    <w:pPr>
      <w:spacing w:line="360" w:lineRule="auto"/>
      <w:ind w:firstLine="200" w:firstLineChars="200"/>
      <w:jc w:val="left"/>
    </w:pPr>
    <w:rPr>
      <w:rFonts w:ascii="宋体" w:hAnsi="宋体"/>
      <w:color w:val="000000"/>
      <w:kern w:val="0"/>
      <w:sz w:val="24"/>
      <w:szCs w:val="20"/>
    </w:rPr>
  </w:style>
  <w:style w:type="paragraph" w:customStyle="1" w:styleId="41">
    <w:name w:val="列出段落1"/>
    <w:basedOn w:val="1"/>
    <w:autoRedefine/>
    <w:qFormat/>
    <w:uiPriority w:val="0"/>
    <w:pPr>
      <w:ind w:firstLine="420" w:firstLineChars="200"/>
    </w:pPr>
    <w:rPr>
      <w:sz w:val="21"/>
      <w:szCs w:val="22"/>
    </w:rPr>
  </w:style>
  <w:style w:type="paragraph" w:customStyle="1" w:styleId="42">
    <w:name w:val="表格内容"/>
    <w:basedOn w:val="1"/>
    <w:autoRedefine/>
    <w:qFormat/>
    <w:uiPriority w:val="2"/>
    <w:pPr>
      <w:widowControl/>
      <w:jc w:val="center"/>
    </w:pPr>
    <w:rPr>
      <w:kern w:val="0"/>
      <w:sz w:val="24"/>
      <w:szCs w:val="28"/>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5">
    <w:name w:val="Plain Text1"/>
    <w:basedOn w:val="46"/>
    <w:autoRedefine/>
    <w:qFormat/>
    <w:uiPriority w:val="99"/>
    <w:pPr>
      <w:widowControl/>
      <w:jc w:val="left"/>
    </w:pPr>
    <w:rPr>
      <w:rFonts w:ascii="宋体" w:hAnsi="Courier New"/>
    </w:rPr>
  </w:style>
  <w:style w:type="paragraph" w:customStyle="1" w:styleId="46">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8">
    <w:name w:val="font51"/>
    <w:basedOn w:val="28"/>
    <w:autoRedefine/>
    <w:qFormat/>
    <w:uiPriority w:val="0"/>
    <w:rPr>
      <w:rFonts w:hint="eastAsia" w:ascii="宋体" w:hAnsi="宋体" w:eastAsia="宋体" w:cs="宋体"/>
      <w:color w:val="000000"/>
      <w:sz w:val="18"/>
      <w:szCs w:val="18"/>
      <w:u w:val="none"/>
    </w:rPr>
  </w:style>
  <w:style w:type="paragraph" w:customStyle="1" w:styleId="49">
    <w:name w:val="内文正文"/>
    <w:basedOn w:val="13"/>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50">
    <w:name w:val="样式 纯文本 + 首行缩进:  2 字符 Char Char Char Char Char Char Char Char Char Char Char Char Char Char Char Char Char Char Char Char Char Char Char Char"/>
    <w:basedOn w:val="13"/>
    <w:autoRedefine/>
    <w:qFormat/>
    <w:uiPriority w:val="0"/>
    <w:pPr>
      <w:spacing w:line="360" w:lineRule="auto"/>
    </w:pPr>
    <w:rPr>
      <w:rFonts w:eastAsia="仿宋_GB2312" w:cs="Arial"/>
      <w:sz w:val="28"/>
    </w:rPr>
  </w:style>
  <w:style w:type="character" w:customStyle="1" w:styleId="51">
    <w:name w:val="font31"/>
    <w:basedOn w:val="28"/>
    <w:autoRedefine/>
    <w:qFormat/>
    <w:uiPriority w:val="0"/>
    <w:rPr>
      <w:rFonts w:ascii="Arial" w:hAnsi="Arial" w:cs="Arial"/>
      <w:color w:val="000000"/>
      <w:sz w:val="20"/>
      <w:szCs w:val="20"/>
      <w:u w:val="none"/>
    </w:rPr>
  </w:style>
  <w:style w:type="character" w:customStyle="1" w:styleId="52">
    <w:name w:val="font01"/>
    <w:basedOn w:val="28"/>
    <w:autoRedefine/>
    <w:qFormat/>
    <w:uiPriority w:val="0"/>
    <w:rPr>
      <w:rFonts w:hint="eastAsia" w:ascii="宋体" w:hAnsi="宋体" w:eastAsia="宋体" w:cs="宋体"/>
      <w:color w:val="000000"/>
      <w:sz w:val="20"/>
      <w:szCs w:val="20"/>
      <w:u w:val="none"/>
    </w:rPr>
  </w:style>
  <w:style w:type="paragraph" w:customStyle="1" w:styleId="53">
    <w:name w:val="标题4"/>
    <w:basedOn w:val="1"/>
    <w:autoRedefine/>
    <w:qFormat/>
    <w:uiPriority w:val="0"/>
    <w:rPr>
      <w:rFonts w:eastAsia="仿宋_GB2312"/>
      <w:sz w:val="32"/>
      <w:szCs w:val="20"/>
    </w:rPr>
  </w:style>
  <w:style w:type="paragraph" w:customStyle="1" w:styleId="5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批注框文本 Char"/>
    <w:basedOn w:val="28"/>
    <w:link w:val="15"/>
    <w:autoRedefine/>
    <w:qFormat/>
    <w:uiPriority w:val="0"/>
    <w:rPr>
      <w:rFonts w:ascii="Calibri" w:hAnsi="Calibri" w:eastAsia="Calibri"/>
      <w:kern w:val="2"/>
      <w:sz w:val="18"/>
      <w:szCs w:val="18"/>
    </w:rPr>
  </w:style>
  <w:style w:type="paragraph" w:styleId="56">
    <w:name w:val="List Paragraph"/>
    <w:basedOn w:val="1"/>
    <w:autoRedefine/>
    <w:unhideWhenUsed/>
    <w:qFormat/>
    <w:uiPriority w:val="99"/>
    <w:pPr>
      <w:ind w:firstLine="420" w:firstLineChars="200"/>
    </w:pPr>
  </w:style>
  <w:style w:type="paragraph" w:customStyle="1" w:styleId="57">
    <w:name w:val="正文2"/>
    <w:basedOn w:val="1"/>
    <w:autoRedefine/>
    <w:qFormat/>
    <w:uiPriority w:val="0"/>
    <w:pPr>
      <w:spacing w:before="156" w:line="360" w:lineRule="auto"/>
      <w:ind w:firstLine="510" w:firstLineChars="200"/>
    </w:pPr>
    <w:rPr>
      <w:rFonts w:eastAsia="宋体"/>
      <w:sz w:val="24"/>
      <w:szCs w:val="20"/>
    </w:rPr>
  </w:style>
  <w:style w:type="paragraph" w:customStyle="1" w:styleId="58">
    <w:name w:val="样式 标题 3 + Arial"/>
    <w:basedOn w:val="6"/>
    <w:autoRedefine/>
    <w:qFormat/>
    <w:uiPriority w:val="0"/>
    <w:pPr>
      <w:spacing w:beforeLines="100" w:after="0" w:line="360" w:lineRule="auto"/>
    </w:pPr>
    <w:rPr>
      <w:rFonts w:ascii="Arial" w:hAnsi="Arial"/>
      <w:sz w:val="24"/>
    </w:rPr>
  </w:style>
  <w:style w:type="paragraph" w:customStyle="1" w:styleId="59">
    <w:name w:val="正文首行缩进 21"/>
    <w:basedOn w:val="60"/>
    <w:autoRedefine/>
    <w:qFormat/>
    <w:uiPriority w:val="0"/>
    <w:pPr>
      <w:ind w:firstLine="420"/>
    </w:pPr>
    <w:rPr>
      <w:rFonts w:cs="宋体"/>
    </w:rPr>
  </w:style>
  <w:style w:type="paragraph" w:customStyle="1" w:styleId="60">
    <w:name w:val="Body Text Indent1"/>
    <w:basedOn w:val="1"/>
    <w:next w:val="1"/>
    <w:autoRedefine/>
    <w:qFormat/>
    <w:uiPriority w:val="0"/>
    <w:pPr>
      <w:ind w:left="420" w:leftChars="200"/>
    </w:pPr>
    <w:rPr>
      <w:color w:val="000000"/>
      <w:szCs w:val="21"/>
    </w:rPr>
  </w:style>
  <w:style w:type="paragraph" w:customStyle="1" w:styleId="61">
    <w:name w:val="纯文本1"/>
    <w:basedOn w:val="40"/>
    <w:autoRedefine/>
    <w:qFormat/>
    <w:uiPriority w:val="0"/>
    <w:pPr>
      <w:widowControl/>
      <w:jc w:val="left"/>
    </w:pPr>
    <w:rPr>
      <w:rFonts w:ascii="宋体" w:hAnsi="Courier New"/>
    </w:rPr>
  </w:style>
  <w:style w:type="paragraph" w:customStyle="1" w:styleId="6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6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7545</Words>
  <Characters>8847</Characters>
  <Lines>507</Lines>
  <Paragraphs>142</Paragraphs>
  <TotalTime>7</TotalTime>
  <ScaleCrop>false</ScaleCrop>
  <LinksUpToDate>false</LinksUpToDate>
  <CharactersWithSpaces>9308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2021-07-02T07:47:00Z</dcterms:created>
  <dc:creator>Administrator</dc:creator>
  <cp:lastModifiedBy>张寒逸 </cp:lastModifiedBy>
  <cp:lastPrinted>2021-03-02T01:28:00Z</cp:lastPrinted>
  <dcterms:modified xsi:type="dcterms:W3CDTF">2025-09-16T03:50:58Z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269F7A3CC8BD4E0CB329357DF2F502C5_13</vt:lpwstr>
  </property>
  <property fmtid="{D5CDD505-2E9C-101B-9397-08002B2CF9AE}" pid="4" name="KSOTemplateDocerSaveRecord">
    <vt:lpwstr>eyJoZGlkIjoiYWRhZWYzYzI5MmFiMTYzMGJhOGQ0N2MzODM3NTM0MzYiLCJ1c2VySWQiOiIzNjg3NDAxMjAifQ==</vt:lpwstr>
  </property>
</Properties>
</file>